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A8464" w14:textId="68E8AE6D" w:rsidR="006649B3" w:rsidRDefault="006649B3" w:rsidP="002F4446">
      <w:pPr>
        <w:pStyle w:val="Header"/>
        <w:spacing w:after="240"/>
        <w:jc w:val="center"/>
        <w:rPr>
          <w:rFonts w:ascii="Arial Narrow" w:hAnsi="Arial Narrow"/>
        </w:rPr>
      </w:pPr>
      <w:r>
        <w:rPr>
          <w:rFonts w:ascii="Arial Narrow" w:hAnsi="Arial Narrow"/>
        </w:rPr>
        <w:tab/>
      </w:r>
      <w:r>
        <w:rPr>
          <w:rFonts w:ascii="Arial Narrow" w:hAnsi="Arial Narrow"/>
        </w:rPr>
        <w:tab/>
        <w:t>ANNEX 3</w:t>
      </w:r>
    </w:p>
    <w:p w14:paraId="19AF3C67" w14:textId="569AF449" w:rsidR="002F4446" w:rsidRPr="00DD7F37" w:rsidRDefault="002F4446" w:rsidP="002F4446">
      <w:pPr>
        <w:pStyle w:val="Header"/>
        <w:spacing w:after="240"/>
        <w:jc w:val="center"/>
        <w:rPr>
          <w:rFonts w:ascii="Arial Narrow" w:hAnsi="Arial Narrow"/>
        </w:rPr>
      </w:pPr>
      <w:r w:rsidRPr="002752BF">
        <w:rPr>
          <w:rFonts w:ascii="Arial Narrow" w:hAnsi="Arial Narrow"/>
        </w:rPr>
        <w:t xml:space="preserve">Terms of Reference for </w:t>
      </w:r>
      <w:r>
        <w:rPr>
          <w:rFonts w:ascii="Arial Narrow" w:hAnsi="Arial Narrow"/>
        </w:rPr>
        <w:t>Use of Non-Key Expertise</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379"/>
      </w:tblGrid>
      <w:tr w:rsidR="002F4446" w:rsidRPr="002343EB" w14:paraId="7335474F" w14:textId="77777777" w:rsidTr="00A33839">
        <w:tc>
          <w:tcPr>
            <w:tcW w:w="8789" w:type="dxa"/>
            <w:gridSpan w:val="2"/>
            <w:shd w:val="clear" w:color="auto" w:fill="auto"/>
          </w:tcPr>
          <w:p w14:paraId="2959C05C" w14:textId="7A794749" w:rsidR="002F4446" w:rsidRPr="002343EB" w:rsidRDefault="002F4446" w:rsidP="00827D6F">
            <w:pPr>
              <w:pStyle w:val="NormalWeb"/>
              <w:shd w:val="clear" w:color="auto" w:fill="FFFFFF"/>
              <w:jc w:val="both"/>
              <w:rPr>
                <w:rFonts w:asciiTheme="minorHAnsi" w:hAnsiTheme="minorHAnsi" w:cs="Calibri"/>
                <w:b/>
                <w:bCs/>
                <w:sz w:val="20"/>
                <w:szCs w:val="20"/>
                <w:lang w:val="en-US"/>
              </w:rPr>
            </w:pPr>
            <w:r w:rsidRPr="002343EB">
              <w:rPr>
                <w:rFonts w:asciiTheme="minorHAnsi" w:hAnsiTheme="minorHAnsi" w:cs="Calibri"/>
                <w:b/>
                <w:bCs/>
                <w:sz w:val="20"/>
                <w:szCs w:val="20"/>
              </w:rPr>
              <w:t>Expert: Junior Non-Key Expert</w:t>
            </w:r>
            <w:r w:rsidRPr="002343EB">
              <w:rPr>
                <w:rFonts w:asciiTheme="minorHAnsi" w:hAnsiTheme="minorHAnsi" w:cs="Calibri"/>
                <w:b/>
                <w:bCs/>
                <w:sz w:val="20"/>
                <w:szCs w:val="20"/>
                <w:lang w:val="en-US"/>
              </w:rPr>
              <w:t xml:space="preserve"> </w:t>
            </w:r>
            <w:r w:rsidR="008E7A4E">
              <w:rPr>
                <w:rFonts w:asciiTheme="minorHAnsi" w:hAnsiTheme="minorHAnsi" w:cs="Calibri"/>
                <w:b/>
                <w:bCs/>
                <w:sz w:val="20"/>
                <w:szCs w:val="20"/>
                <w:lang w:val="en-US"/>
              </w:rPr>
              <w:t xml:space="preserve">JNKE </w:t>
            </w:r>
            <w:r w:rsidRPr="002343EB">
              <w:rPr>
                <w:rFonts w:asciiTheme="minorHAnsi" w:hAnsiTheme="minorHAnsi" w:cs="Calibri"/>
                <w:b/>
                <w:bCs/>
                <w:sz w:val="20"/>
                <w:szCs w:val="20"/>
                <w:lang w:val="en-US"/>
              </w:rPr>
              <w:t xml:space="preserve">in </w:t>
            </w:r>
            <w:r w:rsidR="0097301B">
              <w:rPr>
                <w:rFonts w:asciiTheme="minorHAnsi" w:hAnsiTheme="minorHAnsi" w:cs="Calibri"/>
                <w:b/>
                <w:bCs/>
                <w:sz w:val="20"/>
                <w:szCs w:val="20"/>
                <w:lang w:val="en-US"/>
              </w:rPr>
              <w:t>Civil Society</w:t>
            </w:r>
            <w:r w:rsidRPr="002343EB">
              <w:rPr>
                <w:rFonts w:asciiTheme="minorHAnsi" w:hAnsiTheme="minorHAnsi" w:cs="Calibri"/>
                <w:b/>
                <w:bCs/>
                <w:sz w:val="20"/>
                <w:szCs w:val="20"/>
                <w:lang w:val="en-US"/>
              </w:rPr>
              <w:t xml:space="preserve"> monitoring of </w:t>
            </w:r>
            <w:r w:rsidR="00827D6F" w:rsidRPr="002343EB">
              <w:rPr>
                <w:rFonts w:asciiTheme="minorHAnsi" w:hAnsiTheme="minorHAnsi" w:cs="Calibri"/>
                <w:b/>
                <w:bCs/>
                <w:sz w:val="20"/>
                <w:szCs w:val="20"/>
                <w:lang w:val="en-US"/>
              </w:rPr>
              <w:t xml:space="preserve">the </w:t>
            </w:r>
            <w:r w:rsidRPr="002343EB">
              <w:rPr>
                <w:rFonts w:asciiTheme="minorHAnsi" w:hAnsiTheme="minorHAnsi" w:cs="Calibri"/>
                <w:b/>
                <w:bCs/>
                <w:sz w:val="20"/>
                <w:szCs w:val="20"/>
                <w:lang w:val="en-US"/>
              </w:rPr>
              <w:t xml:space="preserve">CEPA </w:t>
            </w:r>
            <w:r w:rsidR="00827D6F" w:rsidRPr="002343EB">
              <w:rPr>
                <w:rFonts w:asciiTheme="minorHAnsi" w:hAnsiTheme="minorHAnsi" w:cs="Calibri"/>
                <w:b/>
                <w:bCs/>
                <w:sz w:val="20"/>
                <w:szCs w:val="20"/>
                <w:lang w:val="en-US"/>
              </w:rPr>
              <w:t xml:space="preserve">implementation </w:t>
            </w:r>
          </w:p>
        </w:tc>
      </w:tr>
      <w:tr w:rsidR="002F4446" w:rsidRPr="002343EB" w14:paraId="666CAA56" w14:textId="77777777" w:rsidTr="00A33839">
        <w:tc>
          <w:tcPr>
            <w:tcW w:w="8789" w:type="dxa"/>
            <w:gridSpan w:val="2"/>
            <w:shd w:val="clear" w:color="auto" w:fill="D9D9D9"/>
          </w:tcPr>
          <w:p w14:paraId="5DFDA340" w14:textId="77777777" w:rsidR="002F4446" w:rsidRPr="002343EB" w:rsidRDefault="002F4446" w:rsidP="00A33839">
            <w:pPr>
              <w:rPr>
                <w:rFonts w:asciiTheme="minorHAnsi" w:hAnsiTheme="minorHAnsi" w:cs="Calibri"/>
                <w:b/>
                <w:bCs/>
                <w:sz w:val="20"/>
                <w:szCs w:val="20"/>
                <w:lang w:val="en-US"/>
              </w:rPr>
            </w:pPr>
            <w:r w:rsidRPr="002343EB">
              <w:rPr>
                <w:rFonts w:asciiTheme="minorHAnsi" w:hAnsiTheme="minorHAnsi" w:cs="Calibri"/>
                <w:b/>
                <w:bCs/>
                <w:sz w:val="20"/>
                <w:szCs w:val="20"/>
              </w:rPr>
              <w:t xml:space="preserve">1. Description of the assignment: </w:t>
            </w:r>
          </w:p>
        </w:tc>
      </w:tr>
      <w:tr w:rsidR="002F4446" w:rsidRPr="002343EB" w14:paraId="3B84E235" w14:textId="77777777" w:rsidTr="002343EB">
        <w:tc>
          <w:tcPr>
            <w:tcW w:w="2410" w:type="dxa"/>
            <w:shd w:val="clear" w:color="auto" w:fill="auto"/>
          </w:tcPr>
          <w:p w14:paraId="71CF8825" w14:textId="77777777" w:rsidR="002F4446" w:rsidRPr="002343EB" w:rsidRDefault="002F4446" w:rsidP="00A33839">
            <w:pPr>
              <w:rPr>
                <w:rFonts w:asciiTheme="minorHAnsi" w:hAnsiTheme="minorHAnsi" w:cs="Calibri"/>
                <w:sz w:val="20"/>
                <w:szCs w:val="20"/>
              </w:rPr>
            </w:pPr>
            <w:r w:rsidRPr="002343EB">
              <w:rPr>
                <w:rFonts w:asciiTheme="minorHAnsi" w:hAnsiTheme="minorHAnsi" w:cs="Calibri"/>
                <w:b/>
                <w:sz w:val="20"/>
                <w:szCs w:val="20"/>
              </w:rPr>
              <w:t>1.1 Title of assignment</w:t>
            </w:r>
          </w:p>
        </w:tc>
        <w:tc>
          <w:tcPr>
            <w:tcW w:w="6379" w:type="dxa"/>
            <w:shd w:val="clear" w:color="auto" w:fill="auto"/>
          </w:tcPr>
          <w:p w14:paraId="41A6EAA7" w14:textId="5552A60F" w:rsidR="002F4446" w:rsidRPr="002343EB" w:rsidRDefault="002343EB" w:rsidP="00A33839">
            <w:pPr>
              <w:pStyle w:val="NormalWeb"/>
              <w:shd w:val="clear" w:color="auto" w:fill="FFFFFF"/>
              <w:jc w:val="both"/>
              <w:rPr>
                <w:rFonts w:asciiTheme="minorHAnsi" w:hAnsiTheme="minorHAnsi" w:cs="Calibri"/>
                <w:sz w:val="20"/>
                <w:szCs w:val="20"/>
                <w:lang w:val="en-US"/>
              </w:rPr>
            </w:pPr>
            <w:r w:rsidRPr="002343EB">
              <w:rPr>
                <w:rFonts w:asciiTheme="minorHAnsi" w:hAnsiTheme="minorHAnsi" w:cs="Calibri"/>
                <w:sz w:val="20"/>
                <w:szCs w:val="20"/>
                <w:lang w:val="en-US"/>
              </w:rPr>
              <w:t>Conducting civil society monitoring of the</w:t>
            </w:r>
            <w:r w:rsidR="00245C2F" w:rsidRPr="00807278">
              <w:rPr>
                <w:rFonts w:asciiTheme="minorHAnsi" w:hAnsiTheme="minorHAnsi" w:cs="Calibri"/>
                <w:sz w:val="20"/>
                <w:szCs w:val="20"/>
                <w:shd w:val="clear" w:color="auto" w:fill="FFFFFF" w:themeFill="background1"/>
              </w:rPr>
              <w:t xml:space="preserve"> Comprehensive and Enhanced Partnership Agreement</w:t>
            </w:r>
            <w:r w:rsidRPr="002343EB">
              <w:rPr>
                <w:rFonts w:asciiTheme="minorHAnsi" w:hAnsiTheme="minorHAnsi" w:cs="Calibri"/>
                <w:sz w:val="20"/>
                <w:szCs w:val="20"/>
                <w:lang w:val="en-US"/>
              </w:rPr>
              <w:t xml:space="preserve"> </w:t>
            </w:r>
            <w:r w:rsidR="00245C2F">
              <w:rPr>
                <w:rFonts w:asciiTheme="minorHAnsi" w:hAnsiTheme="minorHAnsi" w:cs="Calibri"/>
                <w:sz w:val="20"/>
                <w:szCs w:val="20"/>
                <w:lang w:val="en-US"/>
              </w:rPr>
              <w:t>(</w:t>
            </w:r>
            <w:r w:rsidRPr="002343EB">
              <w:rPr>
                <w:rFonts w:asciiTheme="minorHAnsi" w:hAnsiTheme="minorHAnsi" w:cs="Calibri"/>
                <w:sz w:val="20"/>
                <w:szCs w:val="20"/>
                <w:lang w:val="en-US"/>
              </w:rPr>
              <w:t>CEPA</w:t>
            </w:r>
            <w:r w:rsidR="00245C2F">
              <w:rPr>
                <w:rFonts w:asciiTheme="minorHAnsi" w:hAnsiTheme="minorHAnsi" w:cs="Calibri"/>
                <w:sz w:val="20"/>
                <w:szCs w:val="20"/>
                <w:lang w:val="en-US"/>
              </w:rPr>
              <w:t>)</w:t>
            </w:r>
            <w:r w:rsidRPr="002343EB">
              <w:rPr>
                <w:rFonts w:asciiTheme="minorHAnsi" w:hAnsiTheme="minorHAnsi" w:cs="Calibri"/>
                <w:sz w:val="20"/>
                <w:szCs w:val="20"/>
                <w:lang w:val="en-US"/>
              </w:rPr>
              <w:t xml:space="preserve"> implementation</w:t>
            </w:r>
          </w:p>
        </w:tc>
      </w:tr>
      <w:tr w:rsidR="002F4446" w:rsidRPr="002343EB" w14:paraId="0CAFF768" w14:textId="77777777" w:rsidTr="00A33839">
        <w:tc>
          <w:tcPr>
            <w:tcW w:w="2410" w:type="dxa"/>
          </w:tcPr>
          <w:p w14:paraId="73E6E76A" w14:textId="77777777" w:rsidR="002F4446" w:rsidRPr="002343EB" w:rsidRDefault="002F4446" w:rsidP="00A33839">
            <w:pPr>
              <w:rPr>
                <w:rFonts w:asciiTheme="minorHAnsi" w:hAnsiTheme="minorHAnsi" w:cs="Calibri"/>
                <w:sz w:val="20"/>
                <w:szCs w:val="20"/>
              </w:rPr>
            </w:pPr>
            <w:r w:rsidRPr="002343EB">
              <w:rPr>
                <w:rFonts w:asciiTheme="minorHAnsi" w:hAnsiTheme="minorHAnsi" w:cs="Calibri"/>
                <w:b/>
                <w:bCs/>
                <w:sz w:val="20"/>
                <w:szCs w:val="20"/>
              </w:rPr>
              <w:t>1.2 Activity</w:t>
            </w:r>
          </w:p>
        </w:tc>
        <w:tc>
          <w:tcPr>
            <w:tcW w:w="6379" w:type="dxa"/>
          </w:tcPr>
          <w:p w14:paraId="7C48B761" w14:textId="31B7CD7B" w:rsidR="002F4446" w:rsidRPr="002343EB" w:rsidRDefault="002F4446" w:rsidP="00A33839">
            <w:pPr>
              <w:jc w:val="both"/>
              <w:rPr>
                <w:rFonts w:asciiTheme="minorHAnsi" w:hAnsiTheme="minorHAnsi" w:cs="Calibri"/>
                <w:iCs/>
                <w:sz w:val="20"/>
                <w:szCs w:val="20"/>
              </w:rPr>
            </w:pPr>
            <w:r w:rsidRPr="002343EB">
              <w:rPr>
                <w:rFonts w:asciiTheme="minorHAnsi" w:hAnsiTheme="minorHAnsi" w:cs="Calibri"/>
                <w:iCs/>
                <w:sz w:val="20"/>
                <w:szCs w:val="20"/>
              </w:rPr>
              <w:t>A 3.1.9</w:t>
            </w:r>
            <w:r w:rsidR="00310941">
              <w:rPr>
                <w:rFonts w:asciiTheme="minorHAnsi" w:hAnsiTheme="minorHAnsi" w:cs="Calibri"/>
                <w:iCs/>
                <w:sz w:val="20"/>
                <w:szCs w:val="20"/>
              </w:rPr>
              <w:t xml:space="preserve"> </w:t>
            </w:r>
            <w:r w:rsidR="00310941" w:rsidRPr="002E166C">
              <w:rPr>
                <w:rFonts w:asciiTheme="minorHAnsi" w:eastAsiaTheme="minorHAnsi" w:hAnsiTheme="minorHAnsi" w:cs="Calibri"/>
                <w:kern w:val="2"/>
                <w:sz w:val="20"/>
                <w:szCs w:val="20"/>
                <w14:ligatures w14:val="standardContextual"/>
              </w:rPr>
              <w:t>Strengthening the C</w:t>
            </w:r>
            <w:r w:rsidR="00EC1FC2">
              <w:rPr>
                <w:rFonts w:asciiTheme="minorHAnsi" w:eastAsiaTheme="minorHAnsi" w:hAnsiTheme="minorHAnsi" w:cs="Calibri"/>
                <w:kern w:val="2"/>
                <w:sz w:val="20"/>
                <w:szCs w:val="20"/>
                <w14:ligatures w14:val="standardContextual"/>
              </w:rPr>
              <w:t xml:space="preserve">ivil </w:t>
            </w:r>
            <w:r w:rsidR="00310941" w:rsidRPr="002E166C">
              <w:rPr>
                <w:rFonts w:asciiTheme="minorHAnsi" w:eastAsiaTheme="minorHAnsi" w:hAnsiTheme="minorHAnsi" w:cs="Calibri"/>
                <w:kern w:val="2"/>
                <w:sz w:val="20"/>
                <w:szCs w:val="20"/>
                <w14:ligatures w14:val="standardContextual"/>
              </w:rPr>
              <w:t>S</w:t>
            </w:r>
            <w:r w:rsidR="00EC1FC2">
              <w:rPr>
                <w:rFonts w:asciiTheme="minorHAnsi" w:eastAsiaTheme="minorHAnsi" w:hAnsiTheme="minorHAnsi" w:cs="Calibri"/>
                <w:kern w:val="2"/>
                <w:sz w:val="20"/>
                <w:szCs w:val="20"/>
                <w14:ligatures w14:val="standardContextual"/>
              </w:rPr>
              <w:t>ociety</w:t>
            </w:r>
            <w:r w:rsidR="00310941" w:rsidRPr="002E166C">
              <w:rPr>
                <w:rFonts w:asciiTheme="minorHAnsi" w:eastAsiaTheme="minorHAnsi" w:hAnsiTheme="minorHAnsi" w:cs="Calibri"/>
                <w:kern w:val="2"/>
                <w:sz w:val="20"/>
                <w:szCs w:val="20"/>
                <w14:ligatures w14:val="standardContextual"/>
              </w:rPr>
              <w:t xml:space="preserve"> monitoring of CEPA implementation</w:t>
            </w:r>
          </w:p>
        </w:tc>
      </w:tr>
      <w:tr w:rsidR="002F4446" w:rsidRPr="002F4446" w14:paraId="66806B44" w14:textId="77777777" w:rsidTr="00A33839">
        <w:tc>
          <w:tcPr>
            <w:tcW w:w="2410" w:type="dxa"/>
          </w:tcPr>
          <w:p w14:paraId="55B30B4D" w14:textId="77777777" w:rsidR="002F4446" w:rsidRPr="002343EB" w:rsidRDefault="002F4446" w:rsidP="00A33839">
            <w:pPr>
              <w:rPr>
                <w:rFonts w:asciiTheme="minorHAnsi" w:hAnsiTheme="minorHAnsi" w:cs="Calibri"/>
                <w:b/>
                <w:bCs/>
                <w:sz w:val="20"/>
                <w:szCs w:val="20"/>
              </w:rPr>
            </w:pPr>
            <w:r w:rsidRPr="002343EB">
              <w:rPr>
                <w:rFonts w:asciiTheme="minorHAnsi" w:hAnsiTheme="minorHAnsi" w:cs="Calibri"/>
                <w:b/>
                <w:bCs/>
                <w:sz w:val="20"/>
                <w:szCs w:val="20"/>
              </w:rPr>
              <w:t xml:space="preserve">1.3 Background  </w:t>
            </w:r>
          </w:p>
        </w:tc>
        <w:tc>
          <w:tcPr>
            <w:tcW w:w="6379" w:type="dxa"/>
          </w:tcPr>
          <w:p w14:paraId="36F30812" w14:textId="763F456E" w:rsidR="001D662F" w:rsidRDefault="001D662F" w:rsidP="00A33839">
            <w:pPr>
              <w:jc w:val="both"/>
              <w:rPr>
                <w:rFonts w:asciiTheme="minorHAnsi" w:eastAsiaTheme="minorHAnsi" w:hAnsiTheme="minorHAnsi" w:cs="Calibri"/>
                <w:kern w:val="2"/>
                <w:sz w:val="20"/>
                <w:szCs w:val="20"/>
                <w14:ligatures w14:val="standardContextual"/>
              </w:rPr>
            </w:pPr>
            <w:bookmarkStart w:id="0" w:name="_Hlk175576236"/>
            <w:r w:rsidRPr="001D662F">
              <w:rPr>
                <w:rFonts w:asciiTheme="minorHAnsi" w:eastAsiaTheme="minorHAnsi" w:hAnsiTheme="minorHAnsi" w:cs="Calibri"/>
                <w:kern w:val="2"/>
                <w:sz w:val="20"/>
                <w:szCs w:val="20"/>
                <w14:ligatures w14:val="standardContextual"/>
              </w:rPr>
              <w:t>The “Comprehensive and Enhanced Partnership Agreement” (CEPA) between Armenia and the</w:t>
            </w:r>
            <w:r w:rsidR="00F44270">
              <w:rPr>
                <w:rFonts w:asciiTheme="minorHAnsi" w:eastAsiaTheme="minorHAnsi" w:hAnsiTheme="minorHAnsi" w:cs="Calibri"/>
                <w:kern w:val="2"/>
                <w:sz w:val="20"/>
                <w:szCs w:val="20"/>
                <w14:ligatures w14:val="standardContextual"/>
              </w:rPr>
              <w:t xml:space="preserve"> European Union</w:t>
            </w:r>
            <w:r w:rsidRPr="001D662F">
              <w:rPr>
                <w:rFonts w:asciiTheme="minorHAnsi" w:eastAsiaTheme="minorHAnsi" w:hAnsiTheme="minorHAnsi" w:cs="Calibri"/>
                <w:kern w:val="2"/>
                <w:sz w:val="20"/>
                <w:szCs w:val="20"/>
                <w14:ligatures w14:val="standardContextual"/>
              </w:rPr>
              <w:t xml:space="preserve"> </w:t>
            </w:r>
            <w:r w:rsidR="00F44270">
              <w:rPr>
                <w:rFonts w:asciiTheme="minorHAnsi" w:eastAsiaTheme="minorHAnsi" w:hAnsiTheme="minorHAnsi" w:cs="Calibri"/>
                <w:kern w:val="2"/>
                <w:sz w:val="20"/>
                <w:szCs w:val="20"/>
                <w14:ligatures w14:val="standardContextual"/>
              </w:rPr>
              <w:t>(</w:t>
            </w:r>
            <w:r w:rsidRPr="001D662F">
              <w:rPr>
                <w:rFonts w:asciiTheme="minorHAnsi" w:eastAsiaTheme="minorHAnsi" w:hAnsiTheme="minorHAnsi" w:cs="Calibri"/>
                <w:kern w:val="2"/>
                <w:sz w:val="20"/>
                <w:szCs w:val="20"/>
                <w14:ligatures w14:val="standardContextual"/>
              </w:rPr>
              <w:t>EU</w:t>
            </w:r>
            <w:r w:rsidR="00F44270">
              <w:rPr>
                <w:rFonts w:asciiTheme="minorHAnsi" w:eastAsiaTheme="minorHAnsi" w:hAnsiTheme="minorHAnsi" w:cs="Calibri"/>
                <w:kern w:val="2"/>
                <w:sz w:val="20"/>
                <w:szCs w:val="20"/>
                <w14:ligatures w14:val="standardContextual"/>
              </w:rPr>
              <w:t>)</w:t>
            </w:r>
            <w:r w:rsidRPr="001D662F">
              <w:rPr>
                <w:rFonts w:asciiTheme="minorHAnsi" w:eastAsiaTheme="minorHAnsi" w:hAnsiTheme="minorHAnsi" w:cs="Calibri"/>
                <w:kern w:val="2"/>
                <w:sz w:val="20"/>
                <w:szCs w:val="20"/>
                <w14:ligatures w14:val="standardContextual"/>
              </w:rPr>
              <w:t>, signed in 2017 and entered into force in 2021. The agreement aims to strengthen democracy, rule of law, and human rights in Armenia. It also focuses on economic modernization and growth, enhancing trade relations, and fostering sustainable development. The agreement encourages reforms in governance, anti-corruption measures, judicial independence, and public administration. It also promotes civil society engagement and political dialogue. CEPA covers various sectors such as energy, transport, environment, and climate change. It seeks to enhance cooperation in these areas through shared standards, practices, and innovation. A crucial aspect of CEPA is its emphasis on human rights, ensuring that Armenia aligns with international human rights standards and promotes fundamental freedoms.</w:t>
            </w:r>
          </w:p>
          <w:bookmarkEnd w:id="0"/>
          <w:p w14:paraId="3EA0806B" w14:textId="0330321A" w:rsidR="002F4446" w:rsidRPr="002E166C" w:rsidRDefault="002F4446" w:rsidP="00A33839">
            <w:pPr>
              <w:jc w:val="both"/>
              <w:rPr>
                <w:rFonts w:asciiTheme="minorHAnsi" w:eastAsiaTheme="minorHAnsi" w:hAnsiTheme="minorHAnsi" w:cs="Calibri"/>
                <w:kern w:val="2"/>
                <w:sz w:val="20"/>
                <w:szCs w:val="20"/>
                <w14:ligatures w14:val="standardContextual"/>
              </w:rPr>
            </w:pPr>
            <w:r w:rsidRPr="002E166C">
              <w:rPr>
                <w:rFonts w:asciiTheme="minorHAnsi" w:eastAsiaTheme="minorHAnsi" w:hAnsiTheme="minorHAnsi" w:cs="Calibri"/>
                <w:kern w:val="2"/>
                <w:sz w:val="20"/>
                <w:szCs w:val="20"/>
                <w14:ligatures w14:val="standardContextual"/>
              </w:rPr>
              <w:t>Monitoring the EU-Armenia Partnership Agreement involves overseeing the implementation and effectiveness of the CEPA between the EU and Armenia. Monitoring is essential for ensuring that the commitments made are fulfilled, reforms are effectively implemented, and the benefits of the agreement are realised. This requires a collaborative effort involving government bodies, civil society, and the general public.</w:t>
            </w:r>
          </w:p>
          <w:p w14:paraId="752E07E8" w14:textId="4F20DB22" w:rsidR="002F4446" w:rsidRPr="002E166C" w:rsidRDefault="002F4446" w:rsidP="00A33839">
            <w:pPr>
              <w:jc w:val="both"/>
              <w:rPr>
                <w:rFonts w:asciiTheme="minorHAnsi" w:eastAsiaTheme="minorHAnsi" w:hAnsiTheme="minorHAnsi" w:cs="Calibri"/>
                <w:kern w:val="2"/>
                <w:sz w:val="20"/>
                <w:szCs w:val="20"/>
                <w14:ligatures w14:val="standardContextual"/>
              </w:rPr>
            </w:pPr>
            <w:r w:rsidRPr="002E166C">
              <w:rPr>
                <w:rFonts w:asciiTheme="minorHAnsi" w:eastAsiaTheme="minorHAnsi" w:hAnsiTheme="minorHAnsi" w:cs="Calibri"/>
                <w:kern w:val="2"/>
                <w:sz w:val="20"/>
                <w:szCs w:val="20"/>
                <w14:ligatures w14:val="standardContextual"/>
              </w:rPr>
              <w:t>Project C</w:t>
            </w:r>
            <w:r w:rsidR="00E617B6">
              <w:rPr>
                <w:rFonts w:asciiTheme="minorHAnsi" w:eastAsiaTheme="minorHAnsi" w:hAnsiTheme="minorHAnsi" w:cs="Calibri"/>
                <w:kern w:val="2"/>
                <w:sz w:val="20"/>
                <w:szCs w:val="20"/>
                <w14:ligatures w14:val="standardContextual"/>
              </w:rPr>
              <w:t xml:space="preserve">omponent </w:t>
            </w:r>
            <w:r w:rsidRPr="002E166C">
              <w:rPr>
                <w:rFonts w:asciiTheme="minorHAnsi" w:eastAsiaTheme="minorHAnsi" w:hAnsiTheme="minorHAnsi" w:cs="Calibri"/>
                <w:kern w:val="2"/>
                <w:sz w:val="20"/>
                <w:szCs w:val="20"/>
                <w14:ligatures w14:val="standardContextual"/>
              </w:rPr>
              <w:t xml:space="preserve">3 is operationally bringing CEPA into the agenda of </w:t>
            </w:r>
            <w:r w:rsidR="002A0C7A">
              <w:rPr>
                <w:rFonts w:asciiTheme="minorHAnsi" w:eastAsiaTheme="minorHAnsi" w:hAnsiTheme="minorHAnsi" w:cs="Calibri"/>
                <w:kern w:val="2"/>
                <w:sz w:val="20"/>
                <w:szCs w:val="20"/>
                <w14:ligatures w14:val="standardContextual"/>
              </w:rPr>
              <w:t>the Civil Society</w:t>
            </w:r>
            <w:r w:rsidRPr="002E166C">
              <w:rPr>
                <w:rFonts w:asciiTheme="minorHAnsi" w:eastAsiaTheme="minorHAnsi" w:hAnsiTheme="minorHAnsi" w:cs="Calibri"/>
                <w:kern w:val="2"/>
                <w:sz w:val="20"/>
                <w:szCs w:val="20"/>
                <w14:ligatures w14:val="standardContextual"/>
              </w:rPr>
              <w:t xml:space="preserve"> through work of the thematic working groups, fellowship initiatives, </w:t>
            </w:r>
            <w:r w:rsidR="00F279DD">
              <w:rPr>
                <w:rFonts w:asciiTheme="minorHAnsi" w:eastAsiaTheme="minorHAnsi" w:hAnsiTheme="minorHAnsi" w:cs="Calibri"/>
                <w:kern w:val="2"/>
                <w:sz w:val="20"/>
                <w:szCs w:val="20"/>
                <w14:ligatures w14:val="standardContextual"/>
              </w:rPr>
              <w:t>Civil Society Organisation (</w:t>
            </w:r>
            <w:r w:rsidRPr="002E166C">
              <w:rPr>
                <w:rFonts w:asciiTheme="minorHAnsi" w:eastAsiaTheme="minorHAnsi" w:hAnsiTheme="minorHAnsi" w:cs="Calibri"/>
                <w:kern w:val="2"/>
                <w:sz w:val="20"/>
                <w:szCs w:val="20"/>
                <w14:ligatures w14:val="standardContextual"/>
              </w:rPr>
              <w:t>CSO</w:t>
            </w:r>
            <w:r w:rsidR="00F279DD">
              <w:rPr>
                <w:rFonts w:asciiTheme="minorHAnsi" w:eastAsiaTheme="minorHAnsi" w:hAnsiTheme="minorHAnsi" w:cs="Calibri"/>
                <w:kern w:val="2"/>
                <w:sz w:val="20"/>
                <w:szCs w:val="20"/>
                <w14:ligatures w14:val="standardContextual"/>
              </w:rPr>
              <w:t>)</w:t>
            </w:r>
            <w:r w:rsidRPr="002E166C">
              <w:rPr>
                <w:rFonts w:asciiTheme="minorHAnsi" w:eastAsiaTheme="minorHAnsi" w:hAnsiTheme="minorHAnsi" w:cs="Calibri"/>
                <w:kern w:val="2"/>
                <w:sz w:val="20"/>
                <w:szCs w:val="20"/>
                <w14:ligatures w14:val="standardContextual"/>
              </w:rPr>
              <w:t xml:space="preserve"> capacity development and monitoring exercises as well as using digital platforms for monitoring and capacity development likes of the recently project-created and introduced Digital Information Resource Centre (DIRCS).  Last but not least, cooperation with the </w:t>
            </w:r>
            <w:r w:rsidR="00F279DD" w:rsidRPr="002E166C">
              <w:rPr>
                <w:rFonts w:asciiTheme="minorHAnsi" w:eastAsiaTheme="minorHAnsi" w:hAnsiTheme="minorHAnsi" w:cs="Calibri"/>
                <w:kern w:val="2"/>
                <w:sz w:val="20"/>
                <w:szCs w:val="20"/>
                <w14:ligatures w14:val="standardContextual"/>
              </w:rPr>
              <w:t>CEPA</w:t>
            </w:r>
            <w:r w:rsidR="00F279DD" w:rsidRPr="002E166C">
              <w:rPr>
                <w:rFonts w:asciiTheme="minorHAnsi" w:eastAsiaTheme="minorHAnsi" w:hAnsiTheme="minorHAnsi" w:cs="Calibri"/>
                <w:kern w:val="2"/>
                <w:sz w:val="20"/>
                <w:szCs w:val="20"/>
                <w14:ligatures w14:val="standardContextual"/>
              </w:rPr>
              <w:t xml:space="preserve"> </w:t>
            </w:r>
            <w:r w:rsidRPr="002E166C">
              <w:rPr>
                <w:rFonts w:asciiTheme="minorHAnsi" w:eastAsiaTheme="minorHAnsi" w:hAnsiTheme="minorHAnsi" w:cs="Calibri"/>
                <w:kern w:val="2"/>
                <w:sz w:val="20"/>
                <w:szCs w:val="20"/>
                <w14:ligatures w14:val="standardContextual"/>
              </w:rPr>
              <w:t xml:space="preserve">CSO Platform was established early in the project and caters to yearly </w:t>
            </w:r>
            <w:r w:rsidR="00F279DD" w:rsidRPr="002E166C">
              <w:rPr>
                <w:rFonts w:asciiTheme="minorHAnsi" w:eastAsiaTheme="minorHAnsi" w:hAnsiTheme="minorHAnsi" w:cs="Calibri"/>
                <w:kern w:val="2"/>
                <w:sz w:val="20"/>
                <w:szCs w:val="20"/>
                <w14:ligatures w14:val="standardContextual"/>
              </w:rPr>
              <w:t xml:space="preserve">CEPA </w:t>
            </w:r>
            <w:r w:rsidRPr="002E166C">
              <w:rPr>
                <w:rFonts w:asciiTheme="minorHAnsi" w:eastAsiaTheme="minorHAnsi" w:hAnsiTheme="minorHAnsi" w:cs="Calibri"/>
                <w:kern w:val="2"/>
                <w:sz w:val="20"/>
                <w:szCs w:val="20"/>
                <w14:ligatures w14:val="standardContextual"/>
              </w:rPr>
              <w:t>CSO</w:t>
            </w:r>
            <w:r w:rsidR="004D29D0" w:rsidRPr="002E166C">
              <w:rPr>
                <w:rFonts w:asciiTheme="minorHAnsi" w:eastAsiaTheme="minorHAnsi" w:hAnsiTheme="minorHAnsi" w:cs="Calibri"/>
                <w:kern w:val="2"/>
                <w:sz w:val="20"/>
                <w:szCs w:val="20"/>
                <w14:ligatures w14:val="standardContextual"/>
              </w:rPr>
              <w:t xml:space="preserve"> </w:t>
            </w:r>
            <w:r w:rsidRPr="002E166C">
              <w:rPr>
                <w:rFonts w:asciiTheme="minorHAnsi" w:eastAsiaTheme="minorHAnsi" w:hAnsiTheme="minorHAnsi" w:cs="Calibri"/>
                <w:kern w:val="2"/>
                <w:sz w:val="20"/>
                <w:szCs w:val="20"/>
                <w14:ligatures w14:val="standardContextual"/>
              </w:rPr>
              <w:t>Platform Brussels visits as well as planned secretarial support, whilst also seeking other means of cooperation.</w:t>
            </w:r>
            <w:r w:rsidR="00D82663" w:rsidRPr="002E166C">
              <w:rPr>
                <w:rFonts w:asciiTheme="minorHAnsi" w:eastAsiaTheme="minorHAnsi" w:hAnsiTheme="minorHAnsi" w:cs="Calibri"/>
                <w:kern w:val="2"/>
                <w:sz w:val="20"/>
                <w:szCs w:val="20"/>
                <w14:ligatures w14:val="standardContextual"/>
              </w:rPr>
              <w:t xml:space="preserve"> </w:t>
            </w:r>
            <w:r w:rsidR="00F279DD">
              <w:rPr>
                <w:rFonts w:asciiTheme="minorHAnsi" w:eastAsiaTheme="minorHAnsi" w:hAnsiTheme="minorHAnsi" w:cs="Calibri"/>
                <w:kern w:val="2"/>
                <w:sz w:val="20"/>
                <w:szCs w:val="20"/>
                <w14:ligatures w14:val="standardContextual"/>
              </w:rPr>
              <w:t xml:space="preserve">  </w:t>
            </w:r>
          </w:p>
          <w:p w14:paraId="6E7A0EEF" w14:textId="248074CB" w:rsidR="00A24318" w:rsidRPr="00A24318" w:rsidRDefault="00751A9D" w:rsidP="00A24318">
            <w:pPr>
              <w:jc w:val="both"/>
              <w:rPr>
                <w:rFonts w:asciiTheme="minorHAnsi" w:hAnsiTheme="minorHAnsi" w:cs="Calibri"/>
                <w:sz w:val="20"/>
                <w:szCs w:val="20"/>
                <w:shd w:val="clear" w:color="auto" w:fill="FFFFFF" w:themeFill="background1"/>
              </w:rPr>
            </w:pPr>
            <w:r w:rsidRPr="002E166C">
              <w:rPr>
                <w:rFonts w:asciiTheme="minorHAnsi" w:hAnsiTheme="minorHAnsi" w:cs="Calibri"/>
                <w:sz w:val="20"/>
                <w:szCs w:val="20"/>
                <w:shd w:val="clear" w:color="auto" w:fill="FFFFFF" w:themeFill="background1"/>
              </w:rPr>
              <w:t>Previously</w:t>
            </w:r>
            <w:r w:rsidR="008E7A4E">
              <w:rPr>
                <w:rFonts w:asciiTheme="minorHAnsi" w:hAnsiTheme="minorHAnsi" w:cs="Calibri"/>
                <w:sz w:val="20"/>
                <w:szCs w:val="20"/>
                <w:shd w:val="clear" w:color="auto" w:fill="FFFFFF" w:themeFill="background1"/>
              </w:rPr>
              <w:t>,</w:t>
            </w:r>
            <w:r w:rsidRPr="002E166C">
              <w:rPr>
                <w:rFonts w:asciiTheme="minorHAnsi" w:hAnsiTheme="minorHAnsi" w:cs="Calibri"/>
                <w:sz w:val="20"/>
                <w:szCs w:val="20"/>
                <w:shd w:val="clear" w:color="auto" w:fill="FFFFFF" w:themeFill="background1"/>
              </w:rPr>
              <w:t xml:space="preserve"> independent experts from civil society conducted two CEPA implementation monitoring activities</w:t>
            </w:r>
            <w:r w:rsidR="00BD1A70" w:rsidRPr="002E166C">
              <w:rPr>
                <w:rFonts w:asciiTheme="minorHAnsi" w:hAnsiTheme="minorHAnsi" w:cs="Calibri"/>
                <w:sz w:val="20"/>
                <w:szCs w:val="20"/>
                <w:shd w:val="clear" w:color="auto" w:fill="FFFFFF" w:themeFill="background1"/>
              </w:rPr>
              <w:t>, one</w:t>
            </w:r>
            <w:r w:rsidR="002E166C" w:rsidRPr="002E166C">
              <w:rPr>
                <w:rFonts w:asciiTheme="minorHAnsi" w:hAnsiTheme="minorHAnsi" w:cs="Calibri"/>
                <w:sz w:val="20"/>
                <w:szCs w:val="20"/>
                <w:shd w:val="clear" w:color="auto" w:fill="FFFFFF" w:themeFill="background1"/>
              </w:rPr>
              <w:t xml:space="preserve"> </w:t>
            </w:r>
            <w:r w:rsidR="002E166C" w:rsidRPr="002E166C">
              <w:rPr>
                <w:rFonts w:asciiTheme="minorHAnsi" w:hAnsiTheme="minorHAnsi" w:cs="Calibri"/>
                <w:sz w:val="20"/>
                <w:szCs w:val="20"/>
                <w:shd w:val="clear" w:color="auto" w:fill="FFFFFF" w:themeFill="background1"/>
                <w:lang w:val="en-US"/>
              </w:rPr>
              <w:t xml:space="preserve">of them </w:t>
            </w:r>
            <w:r w:rsidR="00BD1A70" w:rsidRPr="002E166C">
              <w:rPr>
                <w:rFonts w:asciiTheme="minorHAnsi" w:hAnsiTheme="minorHAnsi" w:cs="Calibri"/>
                <w:sz w:val="20"/>
                <w:szCs w:val="20"/>
                <w:shd w:val="clear" w:color="auto" w:fill="FFFFFF" w:themeFill="background1"/>
              </w:rPr>
              <w:t xml:space="preserve">through the support of the </w:t>
            </w:r>
            <w:r w:rsidR="00F279DD" w:rsidRPr="002E166C">
              <w:rPr>
                <w:rFonts w:asciiTheme="minorHAnsi" w:hAnsiTheme="minorHAnsi" w:cs="Calibri"/>
                <w:sz w:val="20"/>
                <w:szCs w:val="20"/>
                <w:shd w:val="clear" w:color="auto" w:fill="FFFFFF" w:themeFill="background1"/>
              </w:rPr>
              <w:t xml:space="preserve">CEPA </w:t>
            </w:r>
            <w:r w:rsidR="00BD1A70" w:rsidRPr="002E166C">
              <w:rPr>
                <w:rFonts w:asciiTheme="minorHAnsi" w:hAnsiTheme="minorHAnsi" w:cs="Calibri"/>
                <w:sz w:val="20"/>
                <w:szCs w:val="20"/>
                <w:shd w:val="clear" w:color="auto" w:fill="FFFFFF" w:themeFill="background1"/>
              </w:rPr>
              <w:t>CSO Platform,</w:t>
            </w:r>
            <w:r w:rsidRPr="002E166C">
              <w:rPr>
                <w:rFonts w:asciiTheme="minorHAnsi" w:hAnsiTheme="minorHAnsi" w:cs="Calibri"/>
                <w:sz w:val="20"/>
                <w:szCs w:val="20"/>
                <w:shd w:val="clear" w:color="auto" w:fill="FFFFFF" w:themeFill="background1"/>
              </w:rPr>
              <w:t xml:space="preserve"> and presented their findings in 2023</w:t>
            </w:r>
            <w:r w:rsidR="002E166C" w:rsidRPr="002E166C">
              <w:rPr>
                <w:rFonts w:asciiTheme="minorHAnsi" w:hAnsiTheme="minorHAnsi" w:cs="Calibri"/>
                <w:sz w:val="20"/>
                <w:szCs w:val="20"/>
                <w:shd w:val="clear" w:color="auto" w:fill="FFFFFF" w:themeFill="background1"/>
              </w:rPr>
              <w:t xml:space="preserve"> and 2024</w:t>
            </w:r>
            <w:r w:rsidRPr="002E166C">
              <w:rPr>
                <w:rFonts w:asciiTheme="minorHAnsi" w:hAnsiTheme="minorHAnsi" w:cs="Calibri"/>
                <w:sz w:val="20"/>
                <w:szCs w:val="20"/>
                <w:shd w:val="clear" w:color="auto" w:fill="FFFFFF" w:themeFill="background1"/>
              </w:rPr>
              <w:t>.</w:t>
            </w:r>
            <w:r w:rsidR="00A24318">
              <w:rPr>
                <w:rFonts w:asciiTheme="minorHAnsi" w:hAnsiTheme="minorHAnsi" w:cs="Calibri"/>
                <w:sz w:val="20"/>
                <w:szCs w:val="20"/>
                <w:shd w:val="clear" w:color="auto" w:fill="FFFFFF" w:themeFill="background1"/>
              </w:rPr>
              <w:t xml:space="preserve"> H</w:t>
            </w:r>
            <w:r w:rsidR="00A24318" w:rsidRPr="00A24318">
              <w:rPr>
                <w:rFonts w:asciiTheme="minorHAnsi" w:hAnsiTheme="minorHAnsi" w:cs="Calibri"/>
                <w:sz w:val="20"/>
                <w:szCs w:val="20"/>
                <w:shd w:val="clear" w:color="auto" w:fill="FFFFFF" w:themeFill="background1"/>
              </w:rPr>
              <w:t xml:space="preserve">ere are </w:t>
            </w:r>
            <w:r w:rsidR="00A24318">
              <w:rPr>
                <w:rFonts w:asciiTheme="minorHAnsi" w:hAnsiTheme="minorHAnsi" w:cs="Calibri"/>
                <w:sz w:val="20"/>
                <w:szCs w:val="20"/>
                <w:shd w:val="clear" w:color="auto" w:fill="FFFFFF" w:themeFill="background1"/>
              </w:rPr>
              <w:t xml:space="preserve">the </w:t>
            </w:r>
            <w:r w:rsidR="00A24318" w:rsidRPr="00A24318">
              <w:rPr>
                <w:rFonts w:asciiTheme="minorHAnsi" w:hAnsiTheme="minorHAnsi" w:cs="Calibri"/>
                <w:sz w:val="20"/>
                <w:szCs w:val="20"/>
                <w:shd w:val="clear" w:color="auto" w:fill="FFFFFF" w:themeFill="background1"/>
              </w:rPr>
              <w:t>links to the previous monitoring reports:</w:t>
            </w:r>
            <w:r w:rsidR="00A24318">
              <w:t xml:space="preserve"> </w:t>
            </w:r>
            <w:r w:rsidR="00F279DD">
              <w:t xml:space="preserve"> </w:t>
            </w:r>
          </w:p>
          <w:p w14:paraId="5B9BC90E" w14:textId="77777777" w:rsidR="00A24318" w:rsidRPr="00A24318" w:rsidRDefault="00000000" w:rsidP="00A24318">
            <w:pPr>
              <w:pStyle w:val="BodyText"/>
              <w:spacing w:before="265"/>
              <w:ind w:left="357" w:right="765"/>
              <w:rPr>
                <w:rStyle w:val="Hyperlink"/>
                <w:rFonts w:asciiTheme="minorHAnsi" w:hAnsiTheme="minorHAnsi"/>
              </w:rPr>
            </w:pPr>
            <w:hyperlink r:id="rId8" w:history="1">
              <w:r w:rsidR="00A24318" w:rsidRPr="00A24318">
                <w:rPr>
                  <w:rStyle w:val="Hyperlink"/>
                  <w:rFonts w:asciiTheme="minorHAnsi" w:hAnsiTheme="minorHAnsi"/>
                </w:rPr>
                <w:t>https://www.osf.am/reports/european-dimension-reports</w:t>
              </w:r>
            </w:hyperlink>
            <w:r w:rsidR="00A24318" w:rsidRPr="00A24318">
              <w:rPr>
                <w:rStyle w:val="Hyperlink"/>
                <w:rFonts w:asciiTheme="minorHAnsi" w:hAnsiTheme="minorHAnsi"/>
              </w:rPr>
              <w:t xml:space="preserve">, </w:t>
            </w:r>
          </w:p>
          <w:p w14:paraId="027CFD06" w14:textId="054EC3BD" w:rsidR="00A24318" w:rsidRPr="00A24318" w:rsidRDefault="00000000" w:rsidP="00A24318">
            <w:pPr>
              <w:pStyle w:val="BodyText"/>
              <w:spacing w:before="265"/>
              <w:ind w:left="357" w:right="765"/>
              <w:rPr>
                <w:rStyle w:val="Hyperlink"/>
                <w:rFonts w:asciiTheme="minorHAnsi" w:hAnsiTheme="minorHAnsi"/>
                <w:lang w:val="en-GB"/>
              </w:rPr>
            </w:pPr>
            <w:hyperlink r:id="rId9" w:history="1">
              <w:r w:rsidR="003E00E9" w:rsidRPr="001A5840">
                <w:rPr>
                  <w:rStyle w:val="Hyperlink"/>
                  <w:rFonts w:asciiTheme="minorHAnsi" w:hAnsiTheme="minorHAnsi"/>
                  <w:lang w:val="en-GB"/>
                </w:rPr>
                <w:t>https://eu-armenia.am</w:t>
              </w:r>
            </w:hyperlink>
            <w:r w:rsidR="00A24318" w:rsidRPr="00A24318">
              <w:rPr>
                <w:rStyle w:val="Hyperlink"/>
                <w:rFonts w:asciiTheme="minorHAnsi" w:hAnsiTheme="minorHAnsi"/>
                <w:lang w:val="en-GB"/>
              </w:rPr>
              <w:t xml:space="preserve">, </w:t>
            </w:r>
          </w:p>
          <w:p w14:paraId="100387FB" w14:textId="77777777" w:rsidR="00A24318" w:rsidRPr="00A24318" w:rsidRDefault="00000000" w:rsidP="00A24318">
            <w:pPr>
              <w:pStyle w:val="BodyText"/>
              <w:spacing w:before="265"/>
              <w:ind w:left="357" w:right="765"/>
              <w:rPr>
                <w:rFonts w:asciiTheme="minorHAnsi" w:hAnsiTheme="minorHAnsi"/>
              </w:rPr>
            </w:pPr>
            <w:hyperlink r:id="rId10" w:history="1">
              <w:r w:rsidR="00A24318" w:rsidRPr="00A24318">
                <w:rPr>
                  <w:rStyle w:val="Hyperlink"/>
                  <w:rFonts w:asciiTheme="minorHAnsi" w:hAnsiTheme="minorHAnsi"/>
                  <w:lang w:val="en-GB"/>
                </w:rPr>
                <w:t>https://cepacso.am/hy/publication/7</w:t>
              </w:r>
            </w:hyperlink>
            <w:r w:rsidR="00A24318" w:rsidRPr="00A24318">
              <w:rPr>
                <w:rStyle w:val="Hyperlink"/>
                <w:rFonts w:asciiTheme="minorHAnsi" w:hAnsiTheme="minorHAnsi"/>
                <w:lang w:val="en-GB"/>
              </w:rPr>
              <w:t xml:space="preserve"> </w:t>
            </w:r>
            <w:r w:rsidR="00A24318" w:rsidRPr="00A24318">
              <w:rPr>
                <w:rFonts w:asciiTheme="minorHAnsi" w:hAnsiTheme="minorHAnsi"/>
              </w:rPr>
              <w:t xml:space="preserve">    </w:t>
            </w:r>
          </w:p>
          <w:p w14:paraId="6BA68646" w14:textId="77777777" w:rsidR="00A24318" w:rsidRPr="00A24318" w:rsidRDefault="00A24318" w:rsidP="00A33839">
            <w:pPr>
              <w:jc w:val="both"/>
              <w:rPr>
                <w:rFonts w:asciiTheme="minorHAnsi" w:hAnsiTheme="minorHAnsi" w:cs="Calibri"/>
                <w:sz w:val="20"/>
                <w:szCs w:val="20"/>
                <w:shd w:val="clear" w:color="auto" w:fill="FFFFFF" w:themeFill="background1"/>
                <w:lang w:val="en-US"/>
              </w:rPr>
            </w:pPr>
          </w:p>
          <w:p w14:paraId="2E6B53F3" w14:textId="17EEBA57" w:rsidR="00751A9D" w:rsidRPr="002E166C" w:rsidRDefault="002E27B5" w:rsidP="00A33839">
            <w:pPr>
              <w:jc w:val="both"/>
              <w:rPr>
                <w:rFonts w:asciiTheme="minorHAnsi" w:eastAsiaTheme="minorHAnsi" w:hAnsiTheme="minorHAnsi" w:cs="Calibri"/>
                <w:kern w:val="2"/>
                <w:sz w:val="20"/>
                <w:szCs w:val="20"/>
                <w14:ligatures w14:val="standardContextual"/>
              </w:rPr>
            </w:pPr>
            <w:r w:rsidRPr="002E166C">
              <w:rPr>
                <w:rFonts w:asciiTheme="minorHAnsi" w:hAnsiTheme="minorHAnsi" w:cs="Calibri"/>
                <w:sz w:val="20"/>
                <w:szCs w:val="20"/>
                <w:shd w:val="clear" w:color="auto" w:fill="FFFFFF" w:themeFill="background1"/>
              </w:rPr>
              <w:t>The Government of Armenia and the</w:t>
            </w:r>
            <w:r w:rsidR="002A0C7A">
              <w:rPr>
                <w:rFonts w:asciiTheme="minorHAnsi" w:hAnsiTheme="minorHAnsi" w:cs="Calibri"/>
                <w:sz w:val="20"/>
                <w:szCs w:val="20"/>
                <w:shd w:val="clear" w:color="auto" w:fill="FFFFFF" w:themeFill="background1"/>
              </w:rPr>
              <w:t xml:space="preserve"> European Union Delegation</w:t>
            </w:r>
            <w:r w:rsidRPr="002E166C">
              <w:rPr>
                <w:rFonts w:asciiTheme="minorHAnsi" w:hAnsiTheme="minorHAnsi" w:cs="Calibri"/>
                <w:sz w:val="20"/>
                <w:szCs w:val="20"/>
                <w:shd w:val="clear" w:color="auto" w:fill="FFFFFF" w:themeFill="background1"/>
              </w:rPr>
              <w:t xml:space="preserve"> </w:t>
            </w:r>
            <w:r w:rsidR="002A0C7A">
              <w:rPr>
                <w:rFonts w:asciiTheme="minorHAnsi" w:hAnsiTheme="minorHAnsi" w:cs="Calibri"/>
                <w:sz w:val="20"/>
                <w:szCs w:val="20"/>
                <w:shd w:val="clear" w:color="auto" w:fill="FFFFFF" w:themeFill="background1"/>
              </w:rPr>
              <w:t>(</w:t>
            </w:r>
            <w:r w:rsidRPr="002E166C">
              <w:rPr>
                <w:rFonts w:asciiTheme="minorHAnsi" w:hAnsiTheme="minorHAnsi" w:cs="Calibri"/>
                <w:sz w:val="20"/>
                <w:szCs w:val="20"/>
                <w:shd w:val="clear" w:color="auto" w:fill="FFFFFF" w:themeFill="background1"/>
              </w:rPr>
              <w:t>EUD</w:t>
            </w:r>
            <w:r w:rsidR="002A0C7A">
              <w:rPr>
                <w:rFonts w:asciiTheme="minorHAnsi" w:hAnsiTheme="minorHAnsi" w:cs="Calibri"/>
                <w:sz w:val="20"/>
                <w:szCs w:val="20"/>
                <w:shd w:val="clear" w:color="auto" w:fill="FFFFFF" w:themeFill="background1"/>
              </w:rPr>
              <w:t>)</w:t>
            </w:r>
            <w:r w:rsidRPr="002E166C">
              <w:rPr>
                <w:rFonts w:asciiTheme="minorHAnsi" w:hAnsiTheme="minorHAnsi" w:cs="Calibri"/>
                <w:sz w:val="20"/>
                <w:szCs w:val="20"/>
                <w:shd w:val="clear" w:color="auto" w:fill="FFFFFF" w:themeFill="background1"/>
              </w:rPr>
              <w:t xml:space="preserve"> emphasize the </w:t>
            </w:r>
            <w:r w:rsidR="004D29D0" w:rsidRPr="002E166C">
              <w:rPr>
                <w:rFonts w:asciiTheme="minorHAnsi" w:hAnsiTheme="minorHAnsi" w:cs="Calibri"/>
                <w:sz w:val="20"/>
                <w:szCs w:val="20"/>
                <w:shd w:val="clear" w:color="auto" w:fill="FFFFFF" w:themeFill="background1"/>
              </w:rPr>
              <w:t xml:space="preserve">role of the Civil Society and its watchdog function for the effective implementation of the CEPA agreement. The professional </w:t>
            </w:r>
            <w:r w:rsidR="004D29D0" w:rsidRPr="002E166C">
              <w:rPr>
                <w:rFonts w:asciiTheme="minorHAnsi" w:hAnsiTheme="minorHAnsi" w:cs="Calibri"/>
                <w:sz w:val="20"/>
                <w:szCs w:val="20"/>
                <w:shd w:val="clear" w:color="auto" w:fill="FFFFFF" w:themeFill="background1"/>
              </w:rPr>
              <w:lastRenderedPageBreak/>
              <w:t xml:space="preserve">capacities of the Civil Society in various fields provide good potential for their effective involvement in the overall reform process in the country and in particular in the CEPA implementation. </w:t>
            </w:r>
          </w:p>
        </w:tc>
      </w:tr>
      <w:tr w:rsidR="002F4446" w:rsidRPr="002F4446" w14:paraId="62B16397" w14:textId="77777777" w:rsidTr="00A33839">
        <w:tc>
          <w:tcPr>
            <w:tcW w:w="2410" w:type="dxa"/>
          </w:tcPr>
          <w:p w14:paraId="679FEF4F" w14:textId="77777777" w:rsidR="002F4446" w:rsidRPr="002F4446" w:rsidRDefault="002F4446" w:rsidP="00A33839">
            <w:pPr>
              <w:rPr>
                <w:rFonts w:asciiTheme="minorHAnsi" w:hAnsiTheme="minorHAnsi" w:cs="Calibri"/>
                <w:sz w:val="20"/>
                <w:szCs w:val="20"/>
              </w:rPr>
            </w:pPr>
            <w:r w:rsidRPr="002F4446">
              <w:rPr>
                <w:rFonts w:asciiTheme="minorHAnsi" w:hAnsiTheme="minorHAnsi" w:cs="Calibri"/>
                <w:b/>
                <w:bCs/>
                <w:sz w:val="20"/>
                <w:szCs w:val="20"/>
              </w:rPr>
              <w:lastRenderedPageBreak/>
              <w:t xml:space="preserve">1.4 Beneficiary </w:t>
            </w:r>
          </w:p>
        </w:tc>
        <w:tc>
          <w:tcPr>
            <w:tcW w:w="6379" w:type="dxa"/>
          </w:tcPr>
          <w:p w14:paraId="7DACA135" w14:textId="7ED18DCA" w:rsidR="002F4446" w:rsidRPr="002E166C" w:rsidRDefault="00F40744" w:rsidP="00A33839">
            <w:pPr>
              <w:jc w:val="both"/>
              <w:rPr>
                <w:rFonts w:asciiTheme="minorHAnsi" w:hAnsiTheme="minorHAnsi" w:cs="Calibri"/>
                <w:sz w:val="20"/>
                <w:szCs w:val="20"/>
              </w:rPr>
            </w:pPr>
            <w:r w:rsidRPr="002E166C">
              <w:rPr>
                <w:rFonts w:asciiTheme="minorHAnsi" w:hAnsiTheme="minorHAnsi" w:cs="Calibri"/>
                <w:sz w:val="20"/>
                <w:szCs w:val="20"/>
              </w:rPr>
              <w:t xml:space="preserve">   </w:t>
            </w:r>
            <w:r w:rsidR="00D82663" w:rsidRPr="00D41CC2">
              <w:rPr>
                <w:rFonts w:asciiTheme="minorHAnsi" w:hAnsiTheme="minorHAnsi" w:cs="Calibri"/>
                <w:sz w:val="20"/>
                <w:szCs w:val="20"/>
                <w:shd w:val="clear" w:color="auto" w:fill="FFFFFF" w:themeFill="background1"/>
              </w:rPr>
              <w:t xml:space="preserve">Government of Armenia, EUD and </w:t>
            </w:r>
            <w:r w:rsidR="00751A9D" w:rsidRPr="00D41CC2">
              <w:rPr>
                <w:rFonts w:asciiTheme="minorHAnsi" w:hAnsiTheme="minorHAnsi" w:cs="Calibri"/>
                <w:sz w:val="20"/>
                <w:szCs w:val="20"/>
                <w:shd w:val="clear" w:color="auto" w:fill="FFFFFF" w:themeFill="background1"/>
              </w:rPr>
              <w:t>Civil Society</w:t>
            </w:r>
          </w:p>
        </w:tc>
      </w:tr>
      <w:tr w:rsidR="002F4446" w:rsidRPr="002F4446" w14:paraId="0E1F6D56" w14:textId="77777777" w:rsidTr="00A33839">
        <w:tc>
          <w:tcPr>
            <w:tcW w:w="8789" w:type="dxa"/>
            <w:gridSpan w:val="2"/>
            <w:shd w:val="clear" w:color="auto" w:fill="D9D9D9"/>
          </w:tcPr>
          <w:p w14:paraId="4A468314" w14:textId="77777777" w:rsidR="002F4446" w:rsidRPr="002E166C" w:rsidRDefault="002F4446" w:rsidP="00A33839">
            <w:pPr>
              <w:jc w:val="both"/>
              <w:rPr>
                <w:rFonts w:asciiTheme="minorHAnsi" w:hAnsiTheme="minorHAnsi" w:cs="Calibri"/>
                <w:sz w:val="20"/>
                <w:szCs w:val="20"/>
              </w:rPr>
            </w:pPr>
            <w:r w:rsidRPr="002E166C">
              <w:rPr>
                <w:rFonts w:asciiTheme="minorHAnsi" w:hAnsiTheme="minorHAnsi" w:cs="Calibri"/>
                <w:b/>
                <w:bCs/>
                <w:sz w:val="20"/>
                <w:szCs w:val="20"/>
              </w:rPr>
              <w:t xml:space="preserve">2. Objectives and deliverables </w:t>
            </w:r>
            <w:r w:rsidRPr="002E166C">
              <w:rPr>
                <w:rFonts w:asciiTheme="minorHAnsi" w:hAnsiTheme="minorHAnsi" w:cs="Calibri"/>
                <w:sz w:val="20"/>
                <w:szCs w:val="20"/>
              </w:rPr>
              <w:t xml:space="preserve"> </w:t>
            </w:r>
          </w:p>
        </w:tc>
      </w:tr>
      <w:tr w:rsidR="002F4446" w:rsidRPr="002F4446" w14:paraId="196AA7B8" w14:textId="77777777" w:rsidTr="00A33839">
        <w:tc>
          <w:tcPr>
            <w:tcW w:w="2410" w:type="dxa"/>
          </w:tcPr>
          <w:p w14:paraId="66B23243" w14:textId="77777777" w:rsidR="002F4446" w:rsidRPr="002F4446" w:rsidRDefault="002F4446" w:rsidP="00A33839">
            <w:pPr>
              <w:rPr>
                <w:rFonts w:asciiTheme="minorHAnsi" w:hAnsiTheme="minorHAnsi" w:cs="Calibri"/>
                <w:b/>
                <w:sz w:val="20"/>
                <w:szCs w:val="20"/>
              </w:rPr>
            </w:pPr>
            <w:r w:rsidRPr="002F4446">
              <w:rPr>
                <w:rFonts w:asciiTheme="minorHAnsi" w:hAnsiTheme="minorHAnsi" w:cs="Calibri"/>
                <w:b/>
                <w:sz w:val="20"/>
                <w:szCs w:val="20"/>
              </w:rPr>
              <w:t>2.1. Specific objectives</w:t>
            </w:r>
          </w:p>
        </w:tc>
        <w:tc>
          <w:tcPr>
            <w:tcW w:w="6379" w:type="dxa"/>
            <w:shd w:val="clear" w:color="auto" w:fill="FFFFFF" w:themeFill="background1"/>
          </w:tcPr>
          <w:p w14:paraId="5D3F331E" w14:textId="41FCB788" w:rsidR="002F4446" w:rsidRPr="002E166C" w:rsidRDefault="002F4446" w:rsidP="00A33839">
            <w:pPr>
              <w:jc w:val="both"/>
              <w:rPr>
                <w:rFonts w:asciiTheme="minorHAnsi" w:hAnsiTheme="minorHAnsi" w:cs="Calibri"/>
                <w:sz w:val="20"/>
                <w:szCs w:val="20"/>
                <w:shd w:val="clear" w:color="auto" w:fill="FFFFFF" w:themeFill="background1"/>
              </w:rPr>
            </w:pPr>
            <w:r w:rsidRPr="002E166C">
              <w:rPr>
                <w:rFonts w:asciiTheme="minorHAnsi" w:hAnsiTheme="minorHAnsi" w:cs="Calibri"/>
                <w:sz w:val="20"/>
                <w:szCs w:val="20"/>
                <w:shd w:val="clear" w:color="auto" w:fill="FFFFFF" w:themeFill="background1"/>
              </w:rPr>
              <w:t xml:space="preserve">Civil Society involved in monitoring the CEPA </w:t>
            </w:r>
            <w:r w:rsidR="00BA1CA5">
              <w:rPr>
                <w:rFonts w:asciiTheme="minorHAnsi" w:hAnsiTheme="minorHAnsi" w:cs="Calibri"/>
                <w:sz w:val="20"/>
                <w:szCs w:val="20"/>
                <w:shd w:val="clear" w:color="auto" w:fill="FFFFFF" w:themeFill="background1"/>
              </w:rPr>
              <w:t xml:space="preserve">implementation, </w:t>
            </w:r>
            <w:r w:rsidRPr="002E166C">
              <w:rPr>
                <w:rFonts w:asciiTheme="minorHAnsi" w:hAnsiTheme="minorHAnsi" w:cs="Calibri"/>
                <w:sz w:val="20"/>
                <w:szCs w:val="20"/>
                <w:shd w:val="clear" w:color="auto" w:fill="FFFFFF" w:themeFill="background1"/>
              </w:rPr>
              <w:t>plays a vital role in ensuring that</w:t>
            </w:r>
            <w:r w:rsidR="00BA1CA5">
              <w:rPr>
                <w:rFonts w:asciiTheme="minorHAnsi" w:hAnsiTheme="minorHAnsi" w:cs="Calibri"/>
                <w:sz w:val="20"/>
                <w:szCs w:val="20"/>
                <w:shd w:val="clear" w:color="auto" w:fill="FFFFFF" w:themeFill="background1"/>
              </w:rPr>
              <w:t xml:space="preserve"> the</w:t>
            </w:r>
            <w:r w:rsidRPr="002E166C">
              <w:rPr>
                <w:rFonts w:asciiTheme="minorHAnsi" w:hAnsiTheme="minorHAnsi" w:cs="Calibri"/>
                <w:sz w:val="20"/>
                <w:szCs w:val="20"/>
                <w:shd w:val="clear" w:color="auto" w:fill="FFFFFF" w:themeFill="background1"/>
              </w:rPr>
              <w:t xml:space="preserve"> civil society contribute</w:t>
            </w:r>
            <w:r w:rsidR="00BA1CA5">
              <w:rPr>
                <w:rFonts w:asciiTheme="minorHAnsi" w:hAnsiTheme="minorHAnsi" w:cs="Calibri"/>
                <w:sz w:val="20"/>
                <w:szCs w:val="20"/>
                <w:shd w:val="clear" w:color="auto" w:fill="FFFFFF" w:themeFill="background1"/>
              </w:rPr>
              <w:t>s</w:t>
            </w:r>
            <w:r w:rsidRPr="002E166C">
              <w:rPr>
                <w:rFonts w:asciiTheme="minorHAnsi" w:hAnsiTheme="minorHAnsi" w:cs="Calibri"/>
                <w:sz w:val="20"/>
                <w:szCs w:val="20"/>
                <w:shd w:val="clear" w:color="auto" w:fill="FFFFFF" w:themeFill="background1"/>
              </w:rPr>
              <w:t xml:space="preserve"> to the implementation and oversight of the agreement.</w:t>
            </w:r>
            <w:r w:rsidR="00807278" w:rsidRPr="002E166C">
              <w:rPr>
                <w:rFonts w:asciiTheme="minorHAnsi" w:hAnsiTheme="minorHAnsi" w:cs="Calibri"/>
                <w:sz w:val="20"/>
                <w:szCs w:val="20"/>
                <w:shd w:val="clear" w:color="auto" w:fill="FFFFFF" w:themeFill="background1"/>
              </w:rPr>
              <w:t xml:space="preserve"> </w:t>
            </w:r>
            <w:r w:rsidR="00F40744" w:rsidRPr="002E166C">
              <w:rPr>
                <w:rFonts w:asciiTheme="minorHAnsi" w:hAnsiTheme="minorHAnsi" w:cs="Calibri"/>
                <w:sz w:val="20"/>
                <w:szCs w:val="20"/>
                <w:shd w:val="clear" w:color="auto" w:fill="FFFFFF" w:themeFill="background1"/>
              </w:rPr>
              <w:t>The</w:t>
            </w:r>
            <w:r w:rsidR="00807278" w:rsidRPr="002E166C">
              <w:rPr>
                <w:rFonts w:asciiTheme="minorHAnsi" w:hAnsiTheme="minorHAnsi" w:cs="Calibri"/>
                <w:sz w:val="20"/>
                <w:szCs w:val="20"/>
                <w:shd w:val="clear" w:color="auto" w:fill="FFFFFF" w:themeFill="background1"/>
              </w:rPr>
              <w:t xml:space="preserve"> project is going to </w:t>
            </w:r>
            <w:r w:rsidR="000E5104" w:rsidRPr="002E166C">
              <w:rPr>
                <w:rFonts w:asciiTheme="minorHAnsi" w:hAnsiTheme="minorHAnsi" w:cs="Calibri"/>
                <w:sz w:val="20"/>
                <w:szCs w:val="20"/>
                <w:shd w:val="clear" w:color="auto" w:fill="FFFFFF" w:themeFill="background1"/>
              </w:rPr>
              <w:t xml:space="preserve">involve </w:t>
            </w:r>
            <w:r w:rsidR="00807278" w:rsidRPr="002E166C">
              <w:rPr>
                <w:rFonts w:asciiTheme="minorHAnsi" w:hAnsiTheme="minorHAnsi" w:cs="Calibri"/>
                <w:sz w:val="20"/>
                <w:szCs w:val="20"/>
                <w:shd w:val="clear" w:color="auto" w:fill="FFFFFF" w:themeFill="background1"/>
              </w:rPr>
              <w:t xml:space="preserve">individual </w:t>
            </w:r>
            <w:r w:rsidR="000E5104" w:rsidRPr="002E166C">
              <w:rPr>
                <w:rFonts w:asciiTheme="minorHAnsi" w:hAnsiTheme="minorHAnsi" w:cs="Calibri"/>
                <w:sz w:val="20"/>
                <w:szCs w:val="20"/>
                <w:shd w:val="clear" w:color="auto" w:fill="FFFFFF" w:themeFill="background1"/>
              </w:rPr>
              <w:t xml:space="preserve">Civil Society </w:t>
            </w:r>
            <w:r w:rsidR="00807278" w:rsidRPr="002E166C">
              <w:rPr>
                <w:rFonts w:asciiTheme="minorHAnsi" w:hAnsiTheme="minorHAnsi" w:cs="Calibri"/>
                <w:sz w:val="20"/>
                <w:szCs w:val="20"/>
                <w:shd w:val="clear" w:color="auto" w:fill="FFFFFF" w:themeFill="background1"/>
              </w:rPr>
              <w:t>expert</w:t>
            </w:r>
            <w:r w:rsidR="000E5104" w:rsidRPr="002E166C">
              <w:rPr>
                <w:rFonts w:asciiTheme="minorHAnsi" w:hAnsiTheme="minorHAnsi" w:cs="Calibri"/>
                <w:sz w:val="20"/>
                <w:szCs w:val="20"/>
                <w:shd w:val="clear" w:color="auto" w:fill="FFFFFF" w:themeFill="background1"/>
              </w:rPr>
              <w:t>s</w:t>
            </w:r>
            <w:r w:rsidR="00807278" w:rsidRPr="002E166C">
              <w:rPr>
                <w:rFonts w:asciiTheme="minorHAnsi" w:hAnsiTheme="minorHAnsi" w:cs="Calibri"/>
                <w:sz w:val="20"/>
                <w:szCs w:val="20"/>
                <w:shd w:val="clear" w:color="auto" w:fill="FFFFFF" w:themeFill="background1"/>
              </w:rPr>
              <w:t xml:space="preserve"> with previous monitoring and reporting experience. </w:t>
            </w:r>
          </w:p>
          <w:p w14:paraId="5C98ECA0" w14:textId="28C28715" w:rsidR="002F4446" w:rsidRPr="002E166C" w:rsidRDefault="002F4446" w:rsidP="00A33839">
            <w:pPr>
              <w:jc w:val="both"/>
              <w:rPr>
                <w:rFonts w:asciiTheme="minorHAnsi" w:hAnsiTheme="minorHAnsi" w:cs="Calibri"/>
                <w:sz w:val="20"/>
                <w:szCs w:val="20"/>
                <w:shd w:val="clear" w:color="auto" w:fill="FFFFFF" w:themeFill="background1"/>
              </w:rPr>
            </w:pPr>
            <w:r w:rsidRPr="002E166C">
              <w:rPr>
                <w:rFonts w:asciiTheme="minorHAnsi" w:hAnsiTheme="minorHAnsi" w:cs="Calibri"/>
                <w:sz w:val="20"/>
                <w:szCs w:val="20"/>
                <w:shd w:val="clear" w:color="auto" w:fill="FFFFFF" w:themeFill="background1"/>
              </w:rPr>
              <w:t xml:space="preserve">The </w:t>
            </w:r>
            <w:r w:rsidR="00237092" w:rsidRPr="002E166C">
              <w:rPr>
                <w:rFonts w:asciiTheme="minorHAnsi" w:hAnsiTheme="minorHAnsi" w:cs="Calibri"/>
                <w:sz w:val="20"/>
                <w:szCs w:val="20"/>
                <w:shd w:val="clear" w:color="auto" w:fill="FFFFFF" w:themeFill="background1"/>
              </w:rPr>
              <w:t>precise</w:t>
            </w:r>
            <w:r w:rsidRPr="002E166C">
              <w:rPr>
                <w:rFonts w:asciiTheme="minorHAnsi" w:hAnsiTheme="minorHAnsi" w:cs="Calibri"/>
                <w:sz w:val="20"/>
                <w:szCs w:val="20"/>
                <w:shd w:val="clear" w:color="auto" w:fill="FFFFFF" w:themeFill="background1"/>
              </w:rPr>
              <w:t xml:space="preserve"> objective of this mission is to produce monitoring report</w:t>
            </w:r>
            <w:r w:rsidR="00C96ED4" w:rsidRPr="002E166C">
              <w:rPr>
                <w:rFonts w:asciiTheme="minorHAnsi" w:hAnsiTheme="minorHAnsi" w:cs="Calibri"/>
                <w:sz w:val="20"/>
                <w:szCs w:val="20"/>
                <w:shd w:val="clear" w:color="auto" w:fill="FFFFFF" w:themeFill="background1"/>
              </w:rPr>
              <w:t xml:space="preserve"> on CEPA implementation, covering </w:t>
            </w:r>
            <w:r w:rsidRPr="002E166C">
              <w:rPr>
                <w:rFonts w:asciiTheme="minorHAnsi" w:hAnsiTheme="minorHAnsi" w:cs="Calibri"/>
                <w:sz w:val="20"/>
                <w:szCs w:val="20"/>
                <w:shd w:val="clear" w:color="auto" w:fill="FFFFFF" w:themeFill="background1"/>
              </w:rPr>
              <w:t xml:space="preserve">of </w:t>
            </w:r>
            <w:r w:rsidR="00237092">
              <w:rPr>
                <w:rFonts w:asciiTheme="minorHAnsi" w:hAnsiTheme="minorHAnsi" w:cs="Calibri"/>
                <w:sz w:val="20"/>
                <w:szCs w:val="20"/>
                <w:shd w:val="clear" w:color="auto" w:fill="FFFFFF" w:themeFill="background1"/>
              </w:rPr>
              <w:t>one of the 10 CEP</w:t>
            </w:r>
            <w:r w:rsidRPr="002E166C">
              <w:rPr>
                <w:rFonts w:asciiTheme="minorHAnsi" w:hAnsiTheme="minorHAnsi" w:cs="Calibri"/>
                <w:sz w:val="20"/>
                <w:szCs w:val="20"/>
                <w:shd w:val="clear" w:color="auto" w:fill="FFFFFF" w:themeFill="background1"/>
              </w:rPr>
              <w:t xml:space="preserve">A sectors, </w:t>
            </w:r>
            <w:r w:rsidR="00237092">
              <w:rPr>
                <w:rFonts w:asciiTheme="minorHAnsi" w:hAnsiTheme="minorHAnsi" w:cs="Calibri"/>
                <w:sz w:val="20"/>
                <w:szCs w:val="20"/>
                <w:shd w:val="clear" w:color="auto" w:fill="FFFFFF" w:themeFill="background1"/>
              </w:rPr>
              <w:t>or one of their</w:t>
            </w:r>
            <w:r w:rsidR="00237092">
              <w:rPr>
                <w:rFonts w:asciiTheme="minorHAnsi" w:hAnsiTheme="minorHAnsi" w:cs="Calibri"/>
                <w:sz w:val="20"/>
                <w:szCs w:val="20"/>
                <w:shd w:val="clear" w:color="auto" w:fill="FFFFFF" w:themeFill="background1"/>
              </w:rPr>
              <w:t xml:space="preserve"> specific </w:t>
            </w:r>
            <w:r w:rsidR="00237092">
              <w:rPr>
                <w:rFonts w:asciiTheme="minorHAnsi" w:hAnsiTheme="minorHAnsi" w:cs="Calibri"/>
                <w:sz w:val="20"/>
                <w:szCs w:val="20"/>
                <w:shd w:val="clear" w:color="auto" w:fill="FFFFFF" w:themeFill="background1"/>
              </w:rPr>
              <w:t>aspects</w:t>
            </w:r>
            <w:r w:rsidR="00237092" w:rsidRPr="002E166C">
              <w:rPr>
                <w:rFonts w:asciiTheme="minorHAnsi" w:hAnsiTheme="minorHAnsi" w:cs="Calibri"/>
                <w:sz w:val="20"/>
                <w:szCs w:val="20"/>
                <w:shd w:val="clear" w:color="auto" w:fill="FFFFFF" w:themeFill="background1"/>
              </w:rPr>
              <w:t xml:space="preserve"> </w:t>
            </w:r>
            <w:r w:rsidRPr="002E166C">
              <w:rPr>
                <w:rFonts w:asciiTheme="minorHAnsi" w:hAnsiTheme="minorHAnsi" w:cs="Calibri"/>
                <w:sz w:val="20"/>
                <w:szCs w:val="20"/>
                <w:shd w:val="clear" w:color="auto" w:fill="FFFFFF" w:themeFill="background1"/>
              </w:rPr>
              <w:t xml:space="preserve">as </w:t>
            </w:r>
            <w:r w:rsidR="00237092">
              <w:rPr>
                <w:rFonts w:asciiTheme="minorHAnsi" w:hAnsiTheme="minorHAnsi" w:cs="Calibri"/>
                <w:sz w:val="20"/>
                <w:szCs w:val="20"/>
                <w:shd w:val="clear" w:color="auto" w:fill="FFFFFF" w:themeFill="background1"/>
              </w:rPr>
              <w:t>listed</w:t>
            </w:r>
            <w:r w:rsidRPr="002E166C">
              <w:rPr>
                <w:rFonts w:asciiTheme="minorHAnsi" w:hAnsiTheme="minorHAnsi" w:cs="Calibri"/>
                <w:sz w:val="20"/>
                <w:szCs w:val="20"/>
                <w:shd w:val="clear" w:color="auto" w:fill="FFFFFF" w:themeFill="background1"/>
              </w:rPr>
              <w:t xml:space="preserve"> below:</w:t>
            </w:r>
          </w:p>
          <w:p w14:paraId="71BA9116" w14:textId="0D4EF10E" w:rsidR="002F4446" w:rsidRPr="002E166C" w:rsidRDefault="002F4446" w:rsidP="002F4446">
            <w:pPr>
              <w:pStyle w:val="ListParagraph"/>
              <w:numPr>
                <w:ilvl w:val="0"/>
                <w:numId w:val="2"/>
              </w:numPr>
              <w:spacing w:after="160" w:line="259" w:lineRule="auto"/>
              <w:rPr>
                <w:rFonts w:asciiTheme="minorHAnsi" w:hAnsiTheme="minorHAnsi" w:cs="Calibri"/>
                <w:sz w:val="20"/>
                <w:szCs w:val="20"/>
              </w:rPr>
            </w:pPr>
            <w:r w:rsidRPr="002E166C">
              <w:rPr>
                <w:rFonts w:asciiTheme="minorHAnsi" w:hAnsiTheme="minorHAnsi" w:cs="Calibri"/>
                <w:sz w:val="20"/>
                <w:szCs w:val="20"/>
              </w:rPr>
              <w:t>Human rights</w:t>
            </w:r>
            <w:r w:rsidR="003A1520">
              <w:rPr>
                <w:rFonts w:asciiTheme="minorHAnsi" w:hAnsiTheme="minorHAnsi" w:cs="Calibri"/>
                <w:sz w:val="20"/>
                <w:szCs w:val="20"/>
              </w:rPr>
              <w:t xml:space="preserve">  </w:t>
            </w:r>
          </w:p>
          <w:p w14:paraId="1D5CE677" w14:textId="77777777" w:rsidR="002F4446" w:rsidRPr="002E166C" w:rsidRDefault="002F4446" w:rsidP="002F4446">
            <w:pPr>
              <w:pStyle w:val="ListParagraph"/>
              <w:numPr>
                <w:ilvl w:val="0"/>
                <w:numId w:val="2"/>
              </w:numPr>
              <w:spacing w:after="160" w:line="259" w:lineRule="auto"/>
              <w:rPr>
                <w:rFonts w:asciiTheme="minorHAnsi" w:hAnsiTheme="minorHAnsi" w:cs="Calibri"/>
                <w:sz w:val="20"/>
                <w:szCs w:val="20"/>
              </w:rPr>
            </w:pPr>
            <w:r w:rsidRPr="002E166C">
              <w:rPr>
                <w:rFonts w:asciiTheme="minorHAnsi" w:hAnsiTheme="minorHAnsi" w:cs="Calibri"/>
                <w:sz w:val="20"/>
                <w:szCs w:val="20"/>
              </w:rPr>
              <w:t>Judicial reform</w:t>
            </w:r>
          </w:p>
          <w:p w14:paraId="1002253F" w14:textId="77777777" w:rsidR="002F4446" w:rsidRPr="002E166C" w:rsidRDefault="002F4446" w:rsidP="002F4446">
            <w:pPr>
              <w:pStyle w:val="ListParagraph"/>
              <w:numPr>
                <w:ilvl w:val="0"/>
                <w:numId w:val="2"/>
              </w:numPr>
              <w:spacing w:after="160" w:line="259" w:lineRule="auto"/>
              <w:rPr>
                <w:rFonts w:asciiTheme="minorHAnsi" w:hAnsiTheme="minorHAnsi" w:cs="Calibri"/>
                <w:sz w:val="20"/>
                <w:szCs w:val="20"/>
              </w:rPr>
            </w:pPr>
            <w:r w:rsidRPr="002E166C">
              <w:rPr>
                <w:rFonts w:asciiTheme="minorHAnsi" w:hAnsiTheme="minorHAnsi" w:cs="Calibri"/>
                <w:sz w:val="20"/>
                <w:szCs w:val="20"/>
              </w:rPr>
              <w:t>Police reform</w:t>
            </w:r>
          </w:p>
          <w:p w14:paraId="3D5B9656" w14:textId="77777777" w:rsidR="002F4446" w:rsidRPr="002E166C" w:rsidRDefault="002F4446" w:rsidP="002F4446">
            <w:pPr>
              <w:pStyle w:val="ListParagraph"/>
              <w:numPr>
                <w:ilvl w:val="0"/>
                <w:numId w:val="2"/>
              </w:numPr>
              <w:spacing w:after="160" w:line="259" w:lineRule="auto"/>
              <w:rPr>
                <w:rFonts w:asciiTheme="minorHAnsi" w:hAnsiTheme="minorHAnsi" w:cs="Calibri"/>
                <w:sz w:val="20"/>
                <w:szCs w:val="20"/>
              </w:rPr>
            </w:pPr>
            <w:r w:rsidRPr="002E166C">
              <w:rPr>
                <w:rFonts w:asciiTheme="minorHAnsi" w:hAnsiTheme="minorHAnsi" w:cs="Calibri"/>
                <w:sz w:val="20"/>
                <w:szCs w:val="20"/>
              </w:rPr>
              <w:t xml:space="preserve">Anti-corruption reform </w:t>
            </w:r>
          </w:p>
          <w:p w14:paraId="7DA340C6" w14:textId="77777777" w:rsidR="002F4446" w:rsidRPr="002E166C" w:rsidRDefault="002F4446" w:rsidP="002F4446">
            <w:pPr>
              <w:pStyle w:val="ListParagraph"/>
              <w:numPr>
                <w:ilvl w:val="0"/>
                <w:numId w:val="2"/>
              </w:numPr>
              <w:spacing w:after="160" w:line="259" w:lineRule="auto"/>
              <w:rPr>
                <w:rFonts w:asciiTheme="minorHAnsi" w:hAnsiTheme="minorHAnsi" w:cs="Calibri"/>
                <w:sz w:val="20"/>
                <w:szCs w:val="20"/>
              </w:rPr>
            </w:pPr>
            <w:r w:rsidRPr="002E166C">
              <w:rPr>
                <w:rFonts w:asciiTheme="minorHAnsi" w:hAnsiTheme="minorHAnsi" w:cs="Calibri"/>
                <w:sz w:val="20"/>
                <w:szCs w:val="20"/>
              </w:rPr>
              <w:t>Education</w:t>
            </w:r>
          </w:p>
          <w:p w14:paraId="7AF8DC78" w14:textId="28825FBF" w:rsidR="002F4446" w:rsidRPr="002E166C" w:rsidRDefault="002F4446" w:rsidP="002F4446">
            <w:pPr>
              <w:pStyle w:val="ListParagraph"/>
              <w:numPr>
                <w:ilvl w:val="0"/>
                <w:numId w:val="2"/>
              </w:numPr>
              <w:spacing w:after="160" w:line="259" w:lineRule="auto"/>
              <w:rPr>
                <w:rFonts w:asciiTheme="minorHAnsi" w:hAnsiTheme="minorHAnsi" w:cs="Calibri"/>
                <w:sz w:val="20"/>
                <w:szCs w:val="20"/>
              </w:rPr>
            </w:pPr>
            <w:r w:rsidRPr="002E166C">
              <w:rPr>
                <w:rFonts w:asciiTheme="minorHAnsi" w:hAnsiTheme="minorHAnsi" w:cs="Calibri"/>
                <w:sz w:val="20"/>
                <w:szCs w:val="20"/>
              </w:rPr>
              <w:t xml:space="preserve">Healthcare </w:t>
            </w:r>
            <w:r w:rsidR="003A1520">
              <w:rPr>
                <w:rFonts w:asciiTheme="minorHAnsi" w:hAnsiTheme="minorHAnsi" w:cs="Calibri"/>
                <w:sz w:val="20"/>
                <w:szCs w:val="20"/>
              </w:rPr>
              <w:t xml:space="preserve"> </w:t>
            </w:r>
          </w:p>
          <w:p w14:paraId="382EE134" w14:textId="77777777" w:rsidR="002F4446" w:rsidRPr="002E166C" w:rsidRDefault="002F4446" w:rsidP="002F4446">
            <w:pPr>
              <w:pStyle w:val="ListParagraph"/>
              <w:numPr>
                <w:ilvl w:val="0"/>
                <w:numId w:val="2"/>
              </w:numPr>
              <w:spacing w:after="160" w:line="259" w:lineRule="auto"/>
              <w:rPr>
                <w:rFonts w:asciiTheme="minorHAnsi" w:hAnsiTheme="minorHAnsi" w:cs="Calibri"/>
                <w:sz w:val="20"/>
                <w:szCs w:val="20"/>
              </w:rPr>
            </w:pPr>
            <w:r w:rsidRPr="002E166C">
              <w:rPr>
                <w:rFonts w:asciiTheme="minorHAnsi" w:hAnsiTheme="minorHAnsi" w:cs="Calibri"/>
                <w:sz w:val="20"/>
                <w:szCs w:val="20"/>
              </w:rPr>
              <w:t xml:space="preserve">Social and labour rights </w:t>
            </w:r>
          </w:p>
          <w:p w14:paraId="79825A3C" w14:textId="77777777" w:rsidR="002F4446" w:rsidRPr="002E166C" w:rsidRDefault="002F4446" w:rsidP="002F4446">
            <w:pPr>
              <w:pStyle w:val="ListParagraph"/>
              <w:numPr>
                <w:ilvl w:val="0"/>
                <w:numId w:val="2"/>
              </w:numPr>
              <w:spacing w:after="160" w:line="259" w:lineRule="auto"/>
              <w:rPr>
                <w:rFonts w:asciiTheme="minorHAnsi" w:hAnsiTheme="minorHAnsi" w:cs="Calibri"/>
                <w:sz w:val="20"/>
                <w:szCs w:val="20"/>
              </w:rPr>
            </w:pPr>
            <w:r w:rsidRPr="002E166C">
              <w:rPr>
                <w:rFonts w:asciiTheme="minorHAnsi" w:hAnsiTheme="minorHAnsi" w:cs="Calibri"/>
                <w:sz w:val="20"/>
                <w:szCs w:val="20"/>
              </w:rPr>
              <w:t xml:space="preserve">Environment </w:t>
            </w:r>
          </w:p>
          <w:p w14:paraId="18CCA18A" w14:textId="77777777" w:rsidR="002F4446" w:rsidRPr="002E166C" w:rsidRDefault="002F4446" w:rsidP="002F4446">
            <w:pPr>
              <w:pStyle w:val="ListParagraph"/>
              <w:numPr>
                <w:ilvl w:val="0"/>
                <w:numId w:val="2"/>
              </w:numPr>
              <w:spacing w:after="160" w:line="259" w:lineRule="auto"/>
              <w:rPr>
                <w:rFonts w:asciiTheme="minorHAnsi" w:hAnsiTheme="minorHAnsi" w:cs="Calibri"/>
                <w:sz w:val="20"/>
                <w:szCs w:val="20"/>
              </w:rPr>
            </w:pPr>
            <w:r w:rsidRPr="002E166C">
              <w:rPr>
                <w:rFonts w:asciiTheme="minorHAnsi" w:hAnsiTheme="minorHAnsi" w:cs="Calibri"/>
                <w:sz w:val="20"/>
                <w:szCs w:val="20"/>
              </w:rPr>
              <w:t>Energy</w:t>
            </w:r>
          </w:p>
          <w:p w14:paraId="7D5DFAC7" w14:textId="77777777" w:rsidR="002F4446" w:rsidRPr="002E166C" w:rsidRDefault="002F4446" w:rsidP="002F4446">
            <w:pPr>
              <w:pStyle w:val="ListParagraph"/>
              <w:numPr>
                <w:ilvl w:val="0"/>
                <w:numId w:val="2"/>
              </w:numPr>
              <w:spacing w:after="160" w:line="259" w:lineRule="auto"/>
              <w:rPr>
                <w:rFonts w:asciiTheme="minorHAnsi" w:hAnsiTheme="minorHAnsi" w:cs="Calibri"/>
                <w:sz w:val="20"/>
                <w:szCs w:val="20"/>
              </w:rPr>
            </w:pPr>
            <w:r w:rsidRPr="002E166C">
              <w:rPr>
                <w:rFonts w:asciiTheme="minorHAnsi" w:hAnsiTheme="minorHAnsi" w:cs="Calibri"/>
                <w:sz w:val="20"/>
                <w:szCs w:val="20"/>
              </w:rPr>
              <w:t>Equitable development and local government reform</w:t>
            </w:r>
          </w:p>
        </w:tc>
      </w:tr>
      <w:tr w:rsidR="002F4446" w:rsidRPr="002F4446" w14:paraId="447D83FD" w14:textId="77777777" w:rsidTr="00A33839">
        <w:trPr>
          <w:trHeight w:val="419"/>
        </w:trPr>
        <w:tc>
          <w:tcPr>
            <w:tcW w:w="2410" w:type="dxa"/>
          </w:tcPr>
          <w:p w14:paraId="2BB10866" w14:textId="77777777" w:rsidR="002F4446" w:rsidRPr="002F4446" w:rsidRDefault="002F4446" w:rsidP="00A33839">
            <w:pPr>
              <w:rPr>
                <w:rFonts w:asciiTheme="minorHAnsi" w:hAnsiTheme="minorHAnsi" w:cs="Calibri"/>
                <w:b/>
                <w:sz w:val="20"/>
                <w:szCs w:val="20"/>
              </w:rPr>
            </w:pPr>
            <w:r w:rsidRPr="002F4446">
              <w:rPr>
                <w:rFonts w:asciiTheme="minorHAnsi" w:hAnsiTheme="minorHAnsi" w:cs="Calibri"/>
                <w:b/>
                <w:sz w:val="20"/>
                <w:szCs w:val="20"/>
              </w:rPr>
              <w:t>2.2. Requested services</w:t>
            </w:r>
          </w:p>
        </w:tc>
        <w:tc>
          <w:tcPr>
            <w:tcW w:w="6379" w:type="dxa"/>
          </w:tcPr>
          <w:p w14:paraId="419C00A1" w14:textId="27EF0BC1" w:rsidR="002F4446" w:rsidRPr="002F4446" w:rsidRDefault="002F4446" w:rsidP="00A33839">
            <w:pPr>
              <w:jc w:val="both"/>
              <w:rPr>
                <w:rFonts w:asciiTheme="minorHAnsi" w:hAnsiTheme="minorHAnsi" w:cs="Calibri"/>
                <w:b/>
                <w:bCs/>
                <w:sz w:val="20"/>
                <w:szCs w:val="20"/>
                <w:lang w:eastAsia="es-ES"/>
              </w:rPr>
            </w:pPr>
            <w:r w:rsidRPr="002F4446">
              <w:rPr>
                <w:rFonts w:asciiTheme="minorHAnsi" w:hAnsiTheme="minorHAnsi" w:cs="Calibri"/>
                <w:b/>
                <w:bCs/>
                <w:sz w:val="20"/>
                <w:szCs w:val="20"/>
                <w:lang w:eastAsia="es-ES"/>
              </w:rPr>
              <w:t xml:space="preserve">1. Data Collection and Analysis – </w:t>
            </w:r>
            <w:r w:rsidR="00DC283A">
              <w:rPr>
                <w:rFonts w:asciiTheme="minorHAnsi" w:hAnsiTheme="minorHAnsi" w:cs="Calibri"/>
                <w:b/>
                <w:bCs/>
                <w:sz w:val="20"/>
                <w:szCs w:val="20"/>
                <w:lang w:eastAsia="es-ES"/>
              </w:rPr>
              <w:t>10</w:t>
            </w:r>
            <w:r w:rsidRPr="002F4446">
              <w:rPr>
                <w:rFonts w:asciiTheme="minorHAnsi" w:hAnsiTheme="minorHAnsi" w:cs="Calibri"/>
                <w:b/>
                <w:bCs/>
                <w:sz w:val="20"/>
                <w:szCs w:val="20"/>
                <w:lang w:eastAsia="es-ES"/>
              </w:rPr>
              <w:t xml:space="preserve"> </w:t>
            </w:r>
            <w:r w:rsidR="00237092">
              <w:rPr>
                <w:rFonts w:asciiTheme="minorHAnsi" w:hAnsiTheme="minorHAnsi" w:cs="Calibri"/>
                <w:b/>
                <w:bCs/>
                <w:sz w:val="20"/>
                <w:szCs w:val="20"/>
                <w:lang w:eastAsia="es-ES"/>
              </w:rPr>
              <w:t>Working Days (</w:t>
            </w:r>
            <w:r w:rsidRPr="002F4446">
              <w:rPr>
                <w:rFonts w:asciiTheme="minorHAnsi" w:hAnsiTheme="minorHAnsi" w:cs="Calibri"/>
                <w:b/>
                <w:bCs/>
                <w:sz w:val="20"/>
                <w:szCs w:val="20"/>
                <w:lang w:eastAsia="es-ES"/>
              </w:rPr>
              <w:t>WDs</w:t>
            </w:r>
            <w:r w:rsidR="00237092">
              <w:rPr>
                <w:rFonts w:asciiTheme="minorHAnsi" w:hAnsiTheme="minorHAnsi" w:cs="Calibri"/>
                <w:b/>
                <w:bCs/>
                <w:sz w:val="20"/>
                <w:szCs w:val="20"/>
                <w:lang w:eastAsia="es-ES"/>
              </w:rPr>
              <w:t>)</w:t>
            </w:r>
          </w:p>
          <w:p w14:paraId="18D0F695" w14:textId="366817F4" w:rsidR="002F4446" w:rsidRDefault="00631F4E" w:rsidP="00A33839">
            <w:pPr>
              <w:jc w:val="both"/>
              <w:rPr>
                <w:rFonts w:asciiTheme="minorHAnsi" w:hAnsiTheme="minorHAnsi" w:cs="Calibri"/>
                <w:sz w:val="20"/>
                <w:szCs w:val="20"/>
                <w:lang w:eastAsia="es-ES"/>
              </w:rPr>
            </w:pPr>
            <w:r>
              <w:rPr>
                <w:rFonts w:asciiTheme="minorHAnsi" w:hAnsiTheme="minorHAnsi" w:cs="Calibri"/>
                <w:sz w:val="20"/>
                <w:szCs w:val="20"/>
                <w:lang w:eastAsia="es-ES"/>
              </w:rPr>
              <w:t>Preparation for the monitoring</w:t>
            </w:r>
            <w:r w:rsidR="002F4446" w:rsidRPr="002F4446">
              <w:rPr>
                <w:rFonts w:asciiTheme="minorHAnsi" w:hAnsiTheme="minorHAnsi" w:cs="Calibri"/>
                <w:sz w:val="20"/>
                <w:szCs w:val="20"/>
                <w:lang w:eastAsia="es-ES"/>
              </w:rPr>
              <w:t xml:space="preserve">: </w:t>
            </w:r>
            <w:r w:rsidR="00370729">
              <w:rPr>
                <w:rFonts w:asciiTheme="minorHAnsi" w:hAnsiTheme="minorHAnsi" w:cs="Calibri"/>
                <w:sz w:val="20"/>
                <w:szCs w:val="20"/>
                <w:lang w:eastAsia="es-ES"/>
              </w:rPr>
              <w:t xml:space="preserve">Adopt the proposed methodology to the needs of the monitoring. </w:t>
            </w:r>
            <w:r w:rsidR="002F4446" w:rsidRPr="002F4446">
              <w:rPr>
                <w:rFonts w:asciiTheme="minorHAnsi" w:hAnsiTheme="minorHAnsi" w:cs="Calibri"/>
                <w:sz w:val="20"/>
                <w:szCs w:val="20"/>
                <w:lang w:eastAsia="es-ES"/>
              </w:rPr>
              <w:t xml:space="preserve">Collect data and conduct research on impact of CEPA in Armenia, focusing on </w:t>
            </w:r>
            <w:r w:rsidR="003601F2">
              <w:rPr>
                <w:rFonts w:asciiTheme="minorHAnsi" w:hAnsiTheme="minorHAnsi" w:cs="Calibri"/>
                <w:sz w:val="20"/>
                <w:szCs w:val="20"/>
                <w:lang w:eastAsia="es-ES"/>
              </w:rPr>
              <w:t xml:space="preserve">implementation of </w:t>
            </w:r>
            <w:r w:rsidR="002F4446" w:rsidRPr="002F4446">
              <w:rPr>
                <w:rFonts w:asciiTheme="minorHAnsi" w:hAnsiTheme="minorHAnsi" w:cs="Calibri"/>
                <w:sz w:val="20"/>
                <w:szCs w:val="20"/>
              </w:rPr>
              <w:t>specific chapters of CEPA</w:t>
            </w:r>
            <w:r w:rsidR="002F4446" w:rsidRPr="002F4446">
              <w:rPr>
                <w:rFonts w:asciiTheme="minorHAnsi" w:hAnsiTheme="minorHAnsi" w:cs="Calibri"/>
                <w:sz w:val="20"/>
                <w:szCs w:val="20"/>
                <w:lang w:eastAsia="es-ES"/>
              </w:rPr>
              <w:t>.</w:t>
            </w:r>
          </w:p>
          <w:p w14:paraId="1DE2A9B6" w14:textId="77777777" w:rsidR="00E23AC8" w:rsidRPr="002F4446" w:rsidRDefault="00E23AC8" w:rsidP="00A33839">
            <w:pPr>
              <w:jc w:val="both"/>
              <w:rPr>
                <w:rFonts w:asciiTheme="minorHAnsi" w:hAnsiTheme="minorHAnsi" w:cs="Calibri"/>
                <w:sz w:val="20"/>
                <w:szCs w:val="20"/>
                <w:lang w:eastAsia="es-ES"/>
              </w:rPr>
            </w:pPr>
          </w:p>
          <w:p w14:paraId="239080A8" w14:textId="1FB06D87" w:rsidR="002F4446" w:rsidRPr="002F4446" w:rsidRDefault="002F4446" w:rsidP="00A33839">
            <w:pPr>
              <w:jc w:val="both"/>
              <w:rPr>
                <w:rFonts w:asciiTheme="minorHAnsi" w:hAnsiTheme="minorHAnsi" w:cs="Calibri"/>
                <w:b/>
                <w:bCs/>
                <w:sz w:val="20"/>
                <w:szCs w:val="20"/>
                <w:lang w:eastAsia="es-ES"/>
              </w:rPr>
            </w:pPr>
            <w:r w:rsidRPr="002F4446">
              <w:rPr>
                <w:rFonts w:asciiTheme="minorHAnsi" w:hAnsiTheme="minorHAnsi" w:cs="Calibri"/>
                <w:b/>
                <w:bCs/>
                <w:sz w:val="20"/>
                <w:szCs w:val="20"/>
                <w:lang w:eastAsia="es-ES"/>
              </w:rPr>
              <w:t>2. Monitoring Compliance and Implementation – 1</w:t>
            </w:r>
            <w:r w:rsidR="00DC283A">
              <w:rPr>
                <w:rFonts w:asciiTheme="minorHAnsi" w:hAnsiTheme="minorHAnsi" w:cs="Calibri"/>
                <w:b/>
                <w:bCs/>
                <w:sz w:val="20"/>
                <w:szCs w:val="20"/>
                <w:lang w:eastAsia="es-ES"/>
              </w:rPr>
              <w:t>5</w:t>
            </w:r>
            <w:r w:rsidRPr="002F4446">
              <w:rPr>
                <w:rFonts w:asciiTheme="minorHAnsi" w:hAnsiTheme="minorHAnsi" w:cs="Calibri"/>
                <w:b/>
                <w:bCs/>
                <w:sz w:val="20"/>
                <w:szCs w:val="20"/>
                <w:lang w:eastAsia="es-ES"/>
              </w:rPr>
              <w:t xml:space="preserve"> WDs</w:t>
            </w:r>
          </w:p>
          <w:p w14:paraId="79A46E4A" w14:textId="5D617F42" w:rsidR="002F4446" w:rsidRPr="002F4446" w:rsidRDefault="002F4446" w:rsidP="00A33839">
            <w:pPr>
              <w:jc w:val="both"/>
              <w:rPr>
                <w:rFonts w:asciiTheme="minorHAnsi" w:hAnsiTheme="minorHAnsi" w:cs="Calibri"/>
                <w:sz w:val="20"/>
                <w:szCs w:val="20"/>
                <w:lang w:eastAsia="es-ES"/>
              </w:rPr>
            </w:pPr>
            <w:r w:rsidRPr="002F4446">
              <w:rPr>
                <w:rFonts w:asciiTheme="minorHAnsi" w:hAnsiTheme="minorHAnsi" w:cs="Calibri"/>
                <w:sz w:val="20"/>
                <w:szCs w:val="20"/>
                <w:lang w:eastAsia="es-ES"/>
              </w:rPr>
              <w:t>Tracking Progress: Monitor the implementation of CEPA provisions, particularly in areas, such as human rights, democracy, rule of law, environmental protection, and any other of 10 selected areas of CEPA</w:t>
            </w:r>
            <w:r w:rsidR="007C2838">
              <w:rPr>
                <w:rFonts w:asciiTheme="minorHAnsi" w:hAnsiTheme="minorHAnsi" w:cs="Calibri"/>
                <w:sz w:val="20"/>
                <w:szCs w:val="20"/>
                <w:lang w:eastAsia="es-ES"/>
              </w:rPr>
              <w:t xml:space="preserve"> mentioned in 2.1.</w:t>
            </w:r>
          </w:p>
          <w:p w14:paraId="3428151A" w14:textId="005BFA72" w:rsidR="002F4446" w:rsidRPr="002F4446" w:rsidRDefault="002F4446" w:rsidP="00A33839">
            <w:pPr>
              <w:jc w:val="both"/>
              <w:rPr>
                <w:rFonts w:asciiTheme="minorHAnsi" w:hAnsiTheme="minorHAnsi" w:cs="Calibri"/>
                <w:sz w:val="20"/>
                <w:szCs w:val="20"/>
                <w:lang w:eastAsia="es-ES"/>
              </w:rPr>
            </w:pPr>
            <w:r w:rsidRPr="002F4446">
              <w:rPr>
                <w:rFonts w:asciiTheme="minorHAnsi" w:hAnsiTheme="minorHAnsi" w:cs="Calibri"/>
                <w:sz w:val="20"/>
                <w:szCs w:val="20"/>
                <w:lang w:eastAsia="es-ES"/>
              </w:rPr>
              <w:t xml:space="preserve">Identifying Gaps: Identify areas where the Armenian government might be falling short of CEPA commitments, especially those related to </w:t>
            </w:r>
            <w:r w:rsidR="007C2838">
              <w:rPr>
                <w:rFonts w:asciiTheme="minorHAnsi" w:hAnsiTheme="minorHAnsi" w:cs="Calibri"/>
                <w:sz w:val="20"/>
                <w:szCs w:val="20"/>
                <w:lang w:eastAsia="es-ES"/>
              </w:rPr>
              <w:t>the chosen field of CEPA implementation</w:t>
            </w:r>
            <w:r w:rsidRPr="002F4446">
              <w:rPr>
                <w:rFonts w:asciiTheme="minorHAnsi" w:hAnsiTheme="minorHAnsi" w:cs="Calibri"/>
                <w:sz w:val="20"/>
                <w:szCs w:val="20"/>
                <w:lang w:eastAsia="es-ES"/>
              </w:rPr>
              <w:t>.</w:t>
            </w:r>
          </w:p>
          <w:p w14:paraId="00BE68FB" w14:textId="23788415" w:rsidR="002F4446" w:rsidRDefault="002F4446" w:rsidP="00A33839">
            <w:pPr>
              <w:jc w:val="both"/>
              <w:rPr>
                <w:rFonts w:asciiTheme="minorHAnsi" w:hAnsiTheme="minorHAnsi" w:cs="Calibri"/>
                <w:sz w:val="20"/>
                <w:szCs w:val="20"/>
                <w:lang w:eastAsia="es-ES"/>
              </w:rPr>
            </w:pPr>
            <w:r w:rsidRPr="002F4446">
              <w:rPr>
                <w:rFonts w:asciiTheme="minorHAnsi" w:hAnsiTheme="minorHAnsi" w:cs="Calibri"/>
                <w:sz w:val="20"/>
                <w:szCs w:val="20"/>
                <w:lang w:eastAsia="es-ES"/>
              </w:rPr>
              <w:t xml:space="preserve">Evaluating Impact: </w:t>
            </w:r>
            <w:r w:rsidR="00C26F38" w:rsidRPr="002F4446">
              <w:rPr>
                <w:rFonts w:asciiTheme="minorHAnsi" w:hAnsiTheme="minorHAnsi" w:cs="Calibri"/>
                <w:sz w:val="20"/>
                <w:szCs w:val="20"/>
                <w:lang w:eastAsia="es-ES"/>
              </w:rPr>
              <w:t>Analyse</w:t>
            </w:r>
            <w:r w:rsidRPr="002F4446">
              <w:rPr>
                <w:rFonts w:asciiTheme="minorHAnsi" w:hAnsiTheme="minorHAnsi" w:cs="Calibri"/>
                <w:sz w:val="20"/>
                <w:szCs w:val="20"/>
                <w:lang w:eastAsia="es-ES"/>
              </w:rPr>
              <w:t xml:space="preserve"> how CEPA implementation affects </w:t>
            </w:r>
            <w:r w:rsidR="007C2838">
              <w:rPr>
                <w:rFonts w:asciiTheme="minorHAnsi" w:hAnsiTheme="minorHAnsi" w:cs="Calibri"/>
                <w:sz w:val="20"/>
                <w:szCs w:val="20"/>
                <w:lang w:eastAsia="es-ES"/>
              </w:rPr>
              <w:t xml:space="preserve">the reform in </w:t>
            </w:r>
            <w:r w:rsidRPr="002F4446">
              <w:rPr>
                <w:rFonts w:asciiTheme="minorHAnsi" w:hAnsiTheme="minorHAnsi" w:cs="Calibri"/>
                <w:sz w:val="20"/>
                <w:szCs w:val="20"/>
                <w:lang w:eastAsia="es-ES"/>
              </w:rPr>
              <w:t xml:space="preserve">key areas </w:t>
            </w:r>
            <w:r w:rsidR="007C2838">
              <w:rPr>
                <w:rFonts w:asciiTheme="minorHAnsi" w:hAnsiTheme="minorHAnsi" w:cs="Calibri"/>
                <w:sz w:val="20"/>
                <w:szCs w:val="20"/>
                <w:lang w:eastAsia="es-ES"/>
              </w:rPr>
              <w:t xml:space="preserve">and </w:t>
            </w:r>
            <w:r w:rsidRPr="002F4446">
              <w:rPr>
                <w:rFonts w:asciiTheme="minorHAnsi" w:hAnsiTheme="minorHAnsi" w:cs="Calibri"/>
                <w:sz w:val="20"/>
                <w:szCs w:val="20"/>
                <w:lang w:eastAsia="es-ES"/>
              </w:rPr>
              <w:t>provid</w:t>
            </w:r>
            <w:r w:rsidR="007C2838">
              <w:rPr>
                <w:rFonts w:asciiTheme="minorHAnsi" w:hAnsiTheme="minorHAnsi" w:cs="Calibri"/>
                <w:sz w:val="20"/>
                <w:szCs w:val="20"/>
                <w:lang w:eastAsia="es-ES"/>
              </w:rPr>
              <w:t>e</w:t>
            </w:r>
            <w:r w:rsidRPr="002F4446">
              <w:rPr>
                <w:rFonts w:asciiTheme="minorHAnsi" w:hAnsiTheme="minorHAnsi" w:cs="Calibri"/>
                <w:sz w:val="20"/>
                <w:szCs w:val="20"/>
                <w:lang w:eastAsia="es-ES"/>
              </w:rPr>
              <w:t xml:space="preserve"> evidence-based assessments.</w:t>
            </w:r>
          </w:p>
          <w:p w14:paraId="4C356092" w14:textId="77777777" w:rsidR="00E23AC8" w:rsidRPr="002F4446" w:rsidRDefault="00E23AC8" w:rsidP="00A33839">
            <w:pPr>
              <w:jc w:val="both"/>
              <w:rPr>
                <w:rFonts w:asciiTheme="minorHAnsi" w:hAnsiTheme="minorHAnsi" w:cs="Calibri"/>
                <w:sz w:val="20"/>
                <w:szCs w:val="20"/>
                <w:lang w:eastAsia="es-ES"/>
              </w:rPr>
            </w:pPr>
          </w:p>
          <w:p w14:paraId="23CE1331" w14:textId="52B3D996" w:rsidR="002F4446" w:rsidRPr="002F4446" w:rsidRDefault="002F4446" w:rsidP="00A33839">
            <w:pPr>
              <w:jc w:val="both"/>
              <w:rPr>
                <w:rFonts w:asciiTheme="minorHAnsi" w:hAnsiTheme="minorHAnsi" w:cs="Calibri"/>
                <w:sz w:val="20"/>
                <w:szCs w:val="20"/>
                <w:lang w:eastAsia="es-ES"/>
              </w:rPr>
            </w:pPr>
            <w:r w:rsidRPr="002F4446">
              <w:rPr>
                <w:rFonts w:asciiTheme="minorHAnsi" w:hAnsiTheme="minorHAnsi" w:cs="Calibri"/>
                <w:sz w:val="20"/>
                <w:szCs w:val="20"/>
                <w:lang w:eastAsia="es-ES"/>
              </w:rPr>
              <w:t xml:space="preserve">3. </w:t>
            </w:r>
            <w:r w:rsidRPr="002F4446">
              <w:rPr>
                <w:rFonts w:asciiTheme="minorHAnsi" w:hAnsiTheme="minorHAnsi" w:cs="Calibri"/>
                <w:b/>
                <w:bCs/>
                <w:sz w:val="20"/>
                <w:szCs w:val="20"/>
                <w:lang w:eastAsia="es-ES"/>
              </w:rPr>
              <w:t xml:space="preserve">Develop Policy Recommendations – </w:t>
            </w:r>
            <w:r w:rsidR="00DC283A">
              <w:rPr>
                <w:rFonts w:asciiTheme="minorHAnsi" w:hAnsiTheme="minorHAnsi" w:cs="Calibri"/>
                <w:b/>
                <w:bCs/>
                <w:sz w:val="20"/>
                <w:szCs w:val="20"/>
                <w:lang w:eastAsia="es-ES"/>
              </w:rPr>
              <w:t>5</w:t>
            </w:r>
            <w:r w:rsidRPr="002F4446">
              <w:rPr>
                <w:rFonts w:asciiTheme="minorHAnsi" w:hAnsiTheme="minorHAnsi" w:cs="Calibri"/>
                <w:b/>
                <w:bCs/>
                <w:sz w:val="20"/>
                <w:szCs w:val="20"/>
                <w:lang w:eastAsia="es-ES"/>
              </w:rPr>
              <w:t xml:space="preserve"> WDs</w:t>
            </w:r>
          </w:p>
          <w:p w14:paraId="33C30682" w14:textId="2515645B" w:rsidR="002F4446" w:rsidRDefault="002F4446" w:rsidP="00A33839">
            <w:pPr>
              <w:jc w:val="both"/>
              <w:rPr>
                <w:rFonts w:asciiTheme="minorHAnsi" w:hAnsiTheme="minorHAnsi" w:cs="Calibri"/>
                <w:sz w:val="20"/>
                <w:szCs w:val="20"/>
                <w:lang w:eastAsia="es-ES"/>
              </w:rPr>
            </w:pPr>
            <w:r w:rsidRPr="002F4446">
              <w:rPr>
                <w:rFonts w:asciiTheme="minorHAnsi" w:hAnsiTheme="minorHAnsi" w:cs="Calibri"/>
                <w:sz w:val="20"/>
                <w:szCs w:val="20"/>
                <w:lang w:eastAsia="es-ES"/>
              </w:rPr>
              <w:t>Develop and present</w:t>
            </w:r>
            <w:r w:rsidR="00B0741D">
              <w:rPr>
                <w:rFonts w:asciiTheme="minorHAnsi" w:hAnsiTheme="minorHAnsi" w:cs="Calibri"/>
                <w:sz w:val="20"/>
                <w:szCs w:val="20"/>
                <w:lang w:eastAsia="es-ES"/>
              </w:rPr>
              <w:t xml:space="preserve"> evidence based</w:t>
            </w:r>
            <w:r w:rsidRPr="002F4446">
              <w:rPr>
                <w:rFonts w:asciiTheme="minorHAnsi" w:hAnsiTheme="minorHAnsi" w:cs="Calibri"/>
                <w:sz w:val="20"/>
                <w:szCs w:val="20"/>
                <w:lang w:eastAsia="es-ES"/>
              </w:rPr>
              <w:t xml:space="preserve"> </w:t>
            </w:r>
            <w:r w:rsidR="00B0741D">
              <w:rPr>
                <w:rFonts w:asciiTheme="minorHAnsi" w:hAnsiTheme="minorHAnsi" w:cs="Calibri"/>
                <w:sz w:val="20"/>
                <w:szCs w:val="20"/>
                <w:lang w:eastAsia="es-ES"/>
              </w:rPr>
              <w:t xml:space="preserve">and realistic </w:t>
            </w:r>
            <w:r w:rsidRPr="002F4446">
              <w:rPr>
                <w:rFonts w:asciiTheme="minorHAnsi" w:hAnsiTheme="minorHAnsi" w:cs="Calibri"/>
                <w:sz w:val="20"/>
                <w:szCs w:val="20"/>
                <w:lang w:eastAsia="es-ES"/>
              </w:rPr>
              <w:t>policy recommendations to government bodies and EU institutions based on monitoring findings, with a focus on improving CEPA implementation.</w:t>
            </w:r>
          </w:p>
          <w:p w14:paraId="7E66C1EE" w14:textId="77777777" w:rsidR="00E23AC8" w:rsidRPr="002F4446" w:rsidRDefault="00E23AC8" w:rsidP="00A33839">
            <w:pPr>
              <w:jc w:val="both"/>
              <w:rPr>
                <w:rFonts w:asciiTheme="minorHAnsi" w:hAnsiTheme="minorHAnsi" w:cs="Calibri"/>
                <w:sz w:val="20"/>
                <w:szCs w:val="20"/>
                <w:lang w:eastAsia="es-ES"/>
              </w:rPr>
            </w:pPr>
          </w:p>
          <w:p w14:paraId="5BDD880C" w14:textId="528C76A7" w:rsidR="002F4446" w:rsidRPr="002F4446" w:rsidRDefault="002F4446" w:rsidP="00A33839">
            <w:pPr>
              <w:jc w:val="both"/>
              <w:rPr>
                <w:rFonts w:asciiTheme="minorHAnsi" w:hAnsiTheme="minorHAnsi" w:cs="Calibri"/>
                <w:sz w:val="20"/>
                <w:szCs w:val="20"/>
                <w:lang w:eastAsia="es-ES"/>
              </w:rPr>
            </w:pPr>
            <w:r w:rsidRPr="002F4446">
              <w:rPr>
                <w:rFonts w:asciiTheme="minorHAnsi" w:hAnsiTheme="minorHAnsi" w:cs="Calibri"/>
                <w:sz w:val="20"/>
                <w:szCs w:val="20"/>
                <w:lang w:eastAsia="es-ES"/>
              </w:rPr>
              <w:t xml:space="preserve">4. </w:t>
            </w:r>
            <w:r w:rsidRPr="002F4446">
              <w:rPr>
                <w:rFonts w:asciiTheme="minorHAnsi" w:hAnsiTheme="minorHAnsi" w:cs="Calibri"/>
                <w:b/>
                <w:bCs/>
                <w:sz w:val="20"/>
                <w:szCs w:val="20"/>
                <w:lang w:eastAsia="es-ES"/>
              </w:rPr>
              <w:t xml:space="preserve">Reporting and Communication – </w:t>
            </w:r>
            <w:r w:rsidR="00DC283A">
              <w:rPr>
                <w:rFonts w:asciiTheme="minorHAnsi" w:hAnsiTheme="minorHAnsi" w:cs="Calibri"/>
                <w:b/>
                <w:bCs/>
                <w:sz w:val="20"/>
                <w:szCs w:val="20"/>
                <w:lang w:eastAsia="es-ES"/>
              </w:rPr>
              <w:t>5</w:t>
            </w:r>
            <w:r w:rsidRPr="002F4446">
              <w:rPr>
                <w:rFonts w:asciiTheme="minorHAnsi" w:hAnsiTheme="minorHAnsi" w:cs="Calibri"/>
                <w:b/>
                <w:bCs/>
                <w:sz w:val="20"/>
                <w:szCs w:val="20"/>
                <w:lang w:eastAsia="es-ES"/>
              </w:rPr>
              <w:t xml:space="preserve"> WDs</w:t>
            </w:r>
          </w:p>
          <w:p w14:paraId="5CB91C3F" w14:textId="343EB71B" w:rsidR="002F4446" w:rsidRPr="002F4446" w:rsidRDefault="002F4446" w:rsidP="00A33839">
            <w:pPr>
              <w:jc w:val="both"/>
              <w:rPr>
                <w:rFonts w:asciiTheme="minorHAnsi" w:hAnsiTheme="minorHAnsi" w:cs="Calibri"/>
                <w:sz w:val="20"/>
                <w:szCs w:val="20"/>
              </w:rPr>
            </w:pPr>
            <w:r w:rsidRPr="002F4446">
              <w:rPr>
                <w:rFonts w:asciiTheme="minorHAnsi" w:hAnsiTheme="minorHAnsi" w:cs="Calibri"/>
                <w:sz w:val="20"/>
                <w:szCs w:val="20"/>
                <w:lang w:eastAsia="es-ES"/>
              </w:rPr>
              <w:t xml:space="preserve">Preparing Reports: Develop </w:t>
            </w:r>
            <w:r w:rsidR="00B0741D">
              <w:rPr>
                <w:rFonts w:asciiTheme="minorHAnsi" w:hAnsiTheme="minorHAnsi" w:cs="Calibri"/>
                <w:sz w:val="20"/>
                <w:szCs w:val="20"/>
                <w:lang w:eastAsia="es-ES"/>
              </w:rPr>
              <w:t xml:space="preserve">a </w:t>
            </w:r>
            <w:r w:rsidRPr="002F4446">
              <w:rPr>
                <w:rFonts w:asciiTheme="minorHAnsi" w:hAnsiTheme="minorHAnsi" w:cs="Calibri"/>
                <w:sz w:val="20"/>
                <w:szCs w:val="20"/>
                <w:lang w:eastAsia="es-ES"/>
              </w:rPr>
              <w:t xml:space="preserve">detailed report on the status of CEPA implementation </w:t>
            </w:r>
            <w:r w:rsidR="00B73794">
              <w:rPr>
                <w:rFonts w:asciiTheme="minorHAnsi" w:hAnsiTheme="minorHAnsi" w:cs="Calibri"/>
                <w:sz w:val="20"/>
                <w:szCs w:val="20"/>
                <w:lang w:eastAsia="es-ES"/>
              </w:rPr>
              <w:t xml:space="preserve">in </w:t>
            </w:r>
            <w:r w:rsidRPr="002F4446">
              <w:rPr>
                <w:rFonts w:asciiTheme="minorHAnsi" w:hAnsiTheme="minorHAnsi" w:cs="Calibri"/>
                <w:sz w:val="20"/>
                <w:szCs w:val="20"/>
                <w:lang w:eastAsia="es-ES"/>
              </w:rPr>
              <w:t xml:space="preserve">specific area from a civil society perspective, highlighting successes, challenges, and </w:t>
            </w:r>
            <w:r w:rsidR="00B73794">
              <w:rPr>
                <w:rFonts w:asciiTheme="minorHAnsi" w:hAnsiTheme="minorHAnsi" w:cs="Calibri"/>
                <w:sz w:val="20"/>
                <w:szCs w:val="20"/>
                <w:lang w:eastAsia="es-ES"/>
              </w:rPr>
              <w:t xml:space="preserve">providing tangible recommendations. </w:t>
            </w:r>
          </w:p>
        </w:tc>
      </w:tr>
      <w:tr w:rsidR="002F4446" w:rsidRPr="002F4446" w14:paraId="63D3B9A3" w14:textId="77777777" w:rsidTr="00A33839">
        <w:tc>
          <w:tcPr>
            <w:tcW w:w="2410" w:type="dxa"/>
          </w:tcPr>
          <w:p w14:paraId="1E3D585B" w14:textId="08CE0D4E" w:rsidR="002F4446" w:rsidRPr="002F4446" w:rsidRDefault="005C7525" w:rsidP="00A33839">
            <w:pPr>
              <w:rPr>
                <w:rFonts w:asciiTheme="minorHAnsi" w:hAnsiTheme="minorHAnsi" w:cs="Calibri"/>
                <w:b/>
                <w:sz w:val="20"/>
                <w:szCs w:val="20"/>
              </w:rPr>
            </w:pPr>
            <w:r>
              <w:rPr>
                <w:rFonts w:asciiTheme="minorHAnsi" w:hAnsiTheme="minorHAnsi" w:cs="Calibri"/>
                <w:b/>
                <w:sz w:val="20"/>
                <w:szCs w:val="20"/>
              </w:rPr>
              <w:t>2.3. Deliverables</w:t>
            </w:r>
          </w:p>
        </w:tc>
        <w:tc>
          <w:tcPr>
            <w:tcW w:w="6379" w:type="dxa"/>
          </w:tcPr>
          <w:p w14:paraId="58E2ACFC" w14:textId="3B6D33F5" w:rsidR="00DC4265" w:rsidRPr="00DC4265" w:rsidRDefault="00DC4265" w:rsidP="00DC4265">
            <w:pPr>
              <w:jc w:val="both"/>
              <w:rPr>
                <w:rFonts w:asciiTheme="minorHAnsi" w:hAnsiTheme="minorHAnsi" w:cs="Calibri"/>
                <w:sz w:val="20"/>
                <w:szCs w:val="20"/>
                <w:lang w:eastAsia="es-ES"/>
              </w:rPr>
            </w:pPr>
            <w:r>
              <w:rPr>
                <w:rFonts w:asciiTheme="minorHAnsi" w:hAnsiTheme="minorHAnsi" w:cs="Calibri"/>
                <w:sz w:val="20"/>
                <w:szCs w:val="20"/>
                <w:lang w:eastAsia="es-ES"/>
              </w:rPr>
              <w:t xml:space="preserve">Expected deliverables under the current </w:t>
            </w:r>
            <w:proofErr w:type="spellStart"/>
            <w:r>
              <w:rPr>
                <w:rFonts w:asciiTheme="minorHAnsi" w:hAnsiTheme="minorHAnsi" w:cs="Calibri"/>
                <w:sz w:val="20"/>
                <w:szCs w:val="20"/>
                <w:lang w:eastAsia="es-ES"/>
              </w:rPr>
              <w:t>ToR</w:t>
            </w:r>
            <w:proofErr w:type="spellEnd"/>
          </w:p>
          <w:p w14:paraId="2E2F5331" w14:textId="504A9929" w:rsidR="006438D9" w:rsidRPr="006438D9" w:rsidRDefault="006438D9" w:rsidP="0081466E">
            <w:pPr>
              <w:pStyle w:val="ListParagraph"/>
              <w:numPr>
                <w:ilvl w:val="0"/>
                <w:numId w:val="5"/>
              </w:numPr>
              <w:jc w:val="both"/>
              <w:rPr>
                <w:rFonts w:asciiTheme="minorHAnsi" w:hAnsiTheme="minorHAnsi" w:cs="Calibri"/>
                <w:sz w:val="20"/>
                <w:szCs w:val="20"/>
                <w:lang w:eastAsia="es-ES"/>
              </w:rPr>
            </w:pPr>
            <w:r w:rsidRPr="006438D9">
              <w:rPr>
                <w:rFonts w:asciiTheme="minorHAnsi" w:hAnsiTheme="minorHAnsi" w:cs="Calibri"/>
                <w:sz w:val="20"/>
                <w:szCs w:val="20"/>
                <w:lang w:eastAsia="es-ES"/>
              </w:rPr>
              <w:t xml:space="preserve">Detailed monitoring methodology including methods and tools for necessary data collection with a focused on selected area  </w:t>
            </w:r>
          </w:p>
          <w:p w14:paraId="68973C2A" w14:textId="1258833D" w:rsidR="006438D9" w:rsidRPr="006438D9" w:rsidRDefault="006438D9" w:rsidP="0081466E">
            <w:pPr>
              <w:pStyle w:val="ListParagraph"/>
              <w:numPr>
                <w:ilvl w:val="0"/>
                <w:numId w:val="5"/>
              </w:numPr>
              <w:jc w:val="both"/>
              <w:rPr>
                <w:rFonts w:asciiTheme="minorHAnsi" w:hAnsiTheme="minorHAnsi" w:cs="Calibri"/>
                <w:sz w:val="20"/>
                <w:szCs w:val="20"/>
                <w:lang w:eastAsia="es-ES"/>
              </w:rPr>
            </w:pPr>
            <w:r w:rsidRPr="006438D9">
              <w:rPr>
                <w:rFonts w:asciiTheme="minorHAnsi" w:hAnsiTheme="minorHAnsi" w:cs="Calibri"/>
                <w:sz w:val="20"/>
                <w:szCs w:val="20"/>
                <w:lang w:eastAsia="es-ES"/>
              </w:rPr>
              <w:lastRenderedPageBreak/>
              <w:t xml:space="preserve">Data collection, gaps and needs analyses of specific aspects of the selected area </w:t>
            </w:r>
            <w:r w:rsidR="00991F3B">
              <w:rPr>
                <w:rFonts w:asciiTheme="minorHAnsi" w:hAnsiTheme="minorHAnsi" w:cs="Calibri"/>
                <w:sz w:val="20"/>
                <w:szCs w:val="20"/>
                <w:lang w:eastAsia="es-ES"/>
              </w:rPr>
              <w:t>as well as d</w:t>
            </w:r>
            <w:r w:rsidR="00991F3B" w:rsidRPr="00991F3B">
              <w:rPr>
                <w:rFonts w:asciiTheme="minorHAnsi" w:hAnsiTheme="minorHAnsi" w:cs="Calibri"/>
                <w:sz w:val="20"/>
                <w:szCs w:val="20"/>
                <w:lang w:eastAsia="es-ES"/>
              </w:rPr>
              <w:t>evelop</w:t>
            </w:r>
            <w:r w:rsidR="00B747E0">
              <w:rPr>
                <w:rFonts w:asciiTheme="minorHAnsi" w:hAnsiTheme="minorHAnsi" w:cs="Calibri"/>
                <w:sz w:val="20"/>
                <w:szCs w:val="20"/>
                <w:lang w:eastAsia="es-ES"/>
              </w:rPr>
              <w:t>ment</w:t>
            </w:r>
            <w:r w:rsidR="00991F3B" w:rsidRPr="00991F3B">
              <w:rPr>
                <w:rFonts w:asciiTheme="minorHAnsi" w:hAnsiTheme="minorHAnsi" w:cs="Calibri"/>
                <w:sz w:val="20"/>
                <w:szCs w:val="20"/>
                <w:lang w:eastAsia="es-ES"/>
              </w:rPr>
              <w:t xml:space="preserve"> </w:t>
            </w:r>
            <w:r w:rsidR="00B747E0">
              <w:rPr>
                <w:rFonts w:asciiTheme="minorHAnsi" w:hAnsiTheme="minorHAnsi" w:cs="Calibri"/>
                <w:sz w:val="20"/>
                <w:szCs w:val="20"/>
                <w:lang w:eastAsia="es-ES"/>
              </w:rPr>
              <w:t xml:space="preserve">of </w:t>
            </w:r>
            <w:r w:rsidR="00991F3B" w:rsidRPr="00991F3B">
              <w:rPr>
                <w:rFonts w:asciiTheme="minorHAnsi" w:hAnsiTheme="minorHAnsi" w:cs="Calibri"/>
                <w:sz w:val="20"/>
                <w:szCs w:val="20"/>
                <w:lang w:eastAsia="es-ES"/>
              </w:rPr>
              <w:t>a set of indicators to measure progress</w:t>
            </w:r>
          </w:p>
          <w:p w14:paraId="0CEC0E66" w14:textId="77777777" w:rsidR="006438D9" w:rsidRPr="006438D9" w:rsidRDefault="006438D9" w:rsidP="0081466E">
            <w:pPr>
              <w:pStyle w:val="ListParagraph"/>
              <w:numPr>
                <w:ilvl w:val="0"/>
                <w:numId w:val="5"/>
              </w:numPr>
              <w:jc w:val="both"/>
              <w:rPr>
                <w:rFonts w:asciiTheme="minorHAnsi" w:hAnsiTheme="minorHAnsi" w:cs="Calibri"/>
                <w:sz w:val="20"/>
                <w:szCs w:val="20"/>
                <w:lang w:eastAsia="es-ES"/>
              </w:rPr>
            </w:pPr>
            <w:r w:rsidRPr="006438D9">
              <w:rPr>
                <w:rFonts w:asciiTheme="minorHAnsi" w:hAnsiTheme="minorHAnsi" w:cs="Calibri"/>
                <w:sz w:val="20"/>
                <w:szCs w:val="20"/>
                <w:lang w:eastAsia="es-ES"/>
              </w:rPr>
              <w:t xml:space="preserve">Evidence-based policy recommendations and discussions with interested parties/stakeholders  </w:t>
            </w:r>
          </w:p>
          <w:p w14:paraId="56F10B30" w14:textId="5D343763" w:rsidR="006438D9" w:rsidRPr="006438D9" w:rsidRDefault="006438D9" w:rsidP="0081466E">
            <w:pPr>
              <w:pStyle w:val="ListParagraph"/>
              <w:numPr>
                <w:ilvl w:val="0"/>
                <w:numId w:val="5"/>
              </w:numPr>
              <w:jc w:val="both"/>
              <w:rPr>
                <w:rFonts w:asciiTheme="minorHAnsi" w:hAnsiTheme="minorHAnsi" w:cs="Calibri"/>
                <w:sz w:val="20"/>
                <w:szCs w:val="20"/>
                <w:lang w:eastAsia="es-ES"/>
              </w:rPr>
            </w:pPr>
            <w:r w:rsidRPr="006438D9">
              <w:rPr>
                <w:rFonts w:asciiTheme="minorHAnsi" w:hAnsiTheme="minorHAnsi" w:cs="Calibri"/>
                <w:sz w:val="20"/>
                <w:szCs w:val="20"/>
                <w:lang w:eastAsia="es-ES"/>
              </w:rPr>
              <w:t>Monthly progress reports to the K</w:t>
            </w:r>
            <w:r w:rsidR="00DC4265">
              <w:rPr>
                <w:rFonts w:asciiTheme="minorHAnsi" w:hAnsiTheme="minorHAnsi" w:cs="Calibri"/>
                <w:sz w:val="20"/>
                <w:szCs w:val="20"/>
                <w:lang w:eastAsia="es-ES"/>
              </w:rPr>
              <w:t xml:space="preserve">ey </w:t>
            </w:r>
            <w:r w:rsidRPr="006438D9">
              <w:rPr>
                <w:rFonts w:asciiTheme="minorHAnsi" w:hAnsiTheme="minorHAnsi" w:cs="Calibri"/>
                <w:sz w:val="20"/>
                <w:szCs w:val="20"/>
                <w:lang w:eastAsia="es-ES"/>
              </w:rPr>
              <w:t>E</w:t>
            </w:r>
            <w:r w:rsidR="00DC4265">
              <w:rPr>
                <w:rFonts w:asciiTheme="minorHAnsi" w:hAnsiTheme="minorHAnsi" w:cs="Calibri"/>
                <w:sz w:val="20"/>
                <w:szCs w:val="20"/>
                <w:lang w:eastAsia="es-ES"/>
              </w:rPr>
              <w:t xml:space="preserve">xpert </w:t>
            </w:r>
            <w:r w:rsidRPr="006438D9">
              <w:rPr>
                <w:rFonts w:asciiTheme="minorHAnsi" w:hAnsiTheme="minorHAnsi" w:cs="Calibri"/>
                <w:sz w:val="20"/>
                <w:szCs w:val="20"/>
                <w:lang w:eastAsia="es-ES"/>
              </w:rPr>
              <w:t>4 and S</w:t>
            </w:r>
            <w:r w:rsidR="00DC4265">
              <w:rPr>
                <w:rFonts w:asciiTheme="minorHAnsi" w:hAnsiTheme="minorHAnsi" w:cs="Calibri"/>
                <w:sz w:val="20"/>
                <w:szCs w:val="20"/>
                <w:lang w:eastAsia="es-ES"/>
              </w:rPr>
              <w:t xml:space="preserve">enior </w:t>
            </w:r>
            <w:proofErr w:type="gramStart"/>
            <w:r w:rsidRPr="006438D9">
              <w:rPr>
                <w:rFonts w:asciiTheme="minorHAnsi" w:hAnsiTheme="minorHAnsi" w:cs="Calibri"/>
                <w:sz w:val="20"/>
                <w:szCs w:val="20"/>
                <w:lang w:eastAsia="es-ES"/>
              </w:rPr>
              <w:t>N</w:t>
            </w:r>
            <w:r w:rsidR="00DC4265">
              <w:rPr>
                <w:rFonts w:asciiTheme="minorHAnsi" w:hAnsiTheme="minorHAnsi" w:cs="Calibri"/>
                <w:sz w:val="20"/>
                <w:szCs w:val="20"/>
                <w:lang w:eastAsia="es-ES"/>
              </w:rPr>
              <w:t>on</w:t>
            </w:r>
            <w:r w:rsidR="0097301B">
              <w:rPr>
                <w:rFonts w:asciiTheme="minorHAnsi" w:hAnsiTheme="minorHAnsi" w:cs="Calibri"/>
                <w:sz w:val="20"/>
                <w:szCs w:val="20"/>
                <w:lang w:eastAsia="es-ES"/>
              </w:rPr>
              <w:t xml:space="preserve"> </w:t>
            </w:r>
            <w:r w:rsidR="00DC4265">
              <w:rPr>
                <w:rFonts w:asciiTheme="minorHAnsi" w:hAnsiTheme="minorHAnsi" w:cs="Calibri"/>
                <w:sz w:val="20"/>
                <w:szCs w:val="20"/>
                <w:lang w:eastAsia="es-ES"/>
              </w:rPr>
              <w:t>Key</w:t>
            </w:r>
            <w:proofErr w:type="gramEnd"/>
            <w:r w:rsidR="00DC4265">
              <w:rPr>
                <w:rFonts w:asciiTheme="minorHAnsi" w:hAnsiTheme="minorHAnsi" w:cs="Calibri"/>
                <w:sz w:val="20"/>
                <w:szCs w:val="20"/>
                <w:lang w:eastAsia="es-ES"/>
              </w:rPr>
              <w:t xml:space="preserve"> </w:t>
            </w:r>
            <w:r w:rsidRPr="006438D9">
              <w:rPr>
                <w:rFonts w:asciiTheme="minorHAnsi" w:hAnsiTheme="minorHAnsi" w:cs="Calibri"/>
                <w:sz w:val="20"/>
                <w:szCs w:val="20"/>
                <w:lang w:eastAsia="es-ES"/>
              </w:rPr>
              <w:t>E</w:t>
            </w:r>
            <w:r w:rsidR="00DC4265">
              <w:rPr>
                <w:rFonts w:asciiTheme="minorHAnsi" w:hAnsiTheme="minorHAnsi" w:cs="Calibri"/>
                <w:sz w:val="20"/>
                <w:szCs w:val="20"/>
                <w:lang w:eastAsia="es-ES"/>
              </w:rPr>
              <w:t>xpert</w:t>
            </w:r>
            <w:r w:rsidRPr="006438D9">
              <w:rPr>
                <w:rFonts w:asciiTheme="minorHAnsi" w:hAnsiTheme="minorHAnsi" w:cs="Calibri"/>
                <w:sz w:val="20"/>
                <w:szCs w:val="20"/>
                <w:lang w:eastAsia="es-ES"/>
              </w:rPr>
              <w:t xml:space="preserve"> for civil society </w:t>
            </w:r>
          </w:p>
          <w:p w14:paraId="784709C0" w14:textId="77777777" w:rsidR="006438D9" w:rsidRPr="006438D9" w:rsidRDefault="006438D9" w:rsidP="0081466E">
            <w:pPr>
              <w:pStyle w:val="ListParagraph"/>
              <w:numPr>
                <w:ilvl w:val="0"/>
                <w:numId w:val="5"/>
              </w:numPr>
              <w:jc w:val="both"/>
              <w:rPr>
                <w:rFonts w:asciiTheme="minorHAnsi" w:hAnsiTheme="minorHAnsi" w:cs="Calibri"/>
                <w:sz w:val="20"/>
                <w:szCs w:val="20"/>
                <w:lang w:eastAsia="es-ES"/>
              </w:rPr>
            </w:pPr>
            <w:r w:rsidRPr="006438D9">
              <w:rPr>
                <w:rFonts w:asciiTheme="minorHAnsi" w:hAnsiTheme="minorHAnsi" w:cs="Calibri"/>
                <w:sz w:val="20"/>
                <w:szCs w:val="20"/>
                <w:lang w:eastAsia="es-ES"/>
              </w:rPr>
              <w:t xml:space="preserve">The final monitoring report </w:t>
            </w:r>
          </w:p>
          <w:p w14:paraId="3EFBFADD" w14:textId="6795AE9B" w:rsidR="002F4446" w:rsidRPr="006438D9" w:rsidRDefault="002F4446" w:rsidP="006438D9">
            <w:pPr>
              <w:jc w:val="both"/>
              <w:rPr>
                <w:rFonts w:asciiTheme="minorHAnsi" w:hAnsiTheme="minorHAnsi" w:cs="Calibri"/>
                <w:sz w:val="20"/>
                <w:szCs w:val="20"/>
                <w:lang w:eastAsia="es-ES"/>
              </w:rPr>
            </w:pPr>
          </w:p>
        </w:tc>
      </w:tr>
      <w:tr w:rsidR="005C7525" w:rsidRPr="002F4446" w14:paraId="62D832EB" w14:textId="77777777" w:rsidTr="00A33839">
        <w:tc>
          <w:tcPr>
            <w:tcW w:w="2410" w:type="dxa"/>
          </w:tcPr>
          <w:p w14:paraId="6A850DB1" w14:textId="1D2DCCD7" w:rsidR="005C7525" w:rsidRPr="002F4446" w:rsidRDefault="005C7525" w:rsidP="005C7525">
            <w:pPr>
              <w:rPr>
                <w:rFonts w:asciiTheme="minorHAnsi" w:hAnsiTheme="minorHAnsi" w:cs="Calibri"/>
                <w:b/>
                <w:sz w:val="20"/>
                <w:szCs w:val="20"/>
              </w:rPr>
            </w:pPr>
            <w:r w:rsidRPr="002F4446">
              <w:rPr>
                <w:rFonts w:asciiTheme="minorHAnsi" w:hAnsiTheme="minorHAnsi" w:cs="Calibri"/>
                <w:b/>
                <w:sz w:val="20"/>
                <w:szCs w:val="20"/>
              </w:rPr>
              <w:lastRenderedPageBreak/>
              <w:t>2.</w:t>
            </w:r>
            <w:r>
              <w:rPr>
                <w:rFonts w:asciiTheme="minorHAnsi" w:hAnsiTheme="minorHAnsi" w:cs="Calibri"/>
                <w:b/>
                <w:sz w:val="20"/>
                <w:szCs w:val="20"/>
              </w:rPr>
              <w:t>4</w:t>
            </w:r>
            <w:r w:rsidRPr="002F4446">
              <w:rPr>
                <w:rFonts w:asciiTheme="minorHAnsi" w:hAnsiTheme="minorHAnsi" w:cs="Calibri"/>
                <w:b/>
                <w:sz w:val="20"/>
                <w:szCs w:val="20"/>
              </w:rPr>
              <w:t>. Specifics</w:t>
            </w:r>
          </w:p>
        </w:tc>
        <w:tc>
          <w:tcPr>
            <w:tcW w:w="6379" w:type="dxa"/>
          </w:tcPr>
          <w:p w14:paraId="31E0CAF0" w14:textId="71B97275" w:rsidR="005C7525" w:rsidRDefault="005C7525" w:rsidP="005C7525">
            <w:pPr>
              <w:jc w:val="both"/>
              <w:rPr>
                <w:rFonts w:asciiTheme="minorHAnsi" w:hAnsiTheme="minorHAnsi" w:cs="Calibri"/>
                <w:sz w:val="20"/>
                <w:szCs w:val="20"/>
              </w:rPr>
            </w:pPr>
            <w:r w:rsidRPr="00F25E65">
              <w:rPr>
                <w:rFonts w:asciiTheme="minorHAnsi" w:hAnsiTheme="minorHAnsi" w:cs="Calibri"/>
                <w:sz w:val="20"/>
                <w:szCs w:val="20"/>
              </w:rPr>
              <w:t xml:space="preserve">The </w:t>
            </w:r>
            <w:r w:rsidR="00344E3C">
              <w:rPr>
                <w:rFonts w:asciiTheme="minorHAnsi" w:hAnsiTheme="minorHAnsi" w:cs="Calibri"/>
                <w:sz w:val="20"/>
                <w:szCs w:val="20"/>
              </w:rPr>
              <w:t>JNKE</w:t>
            </w:r>
            <w:r w:rsidRPr="00F25E65">
              <w:rPr>
                <w:rFonts w:asciiTheme="minorHAnsi" w:hAnsiTheme="minorHAnsi" w:cs="Calibri"/>
                <w:sz w:val="20"/>
                <w:szCs w:val="20"/>
              </w:rPr>
              <w:t xml:space="preserve"> will work under</w:t>
            </w:r>
            <w:r>
              <w:rPr>
                <w:rFonts w:asciiTheme="minorHAnsi" w:hAnsiTheme="minorHAnsi" w:cs="Calibri"/>
                <w:sz w:val="20"/>
                <w:szCs w:val="20"/>
              </w:rPr>
              <w:t xml:space="preserve"> the direct supervision of the KE4 and SNKE for civil society.</w:t>
            </w:r>
          </w:p>
          <w:p w14:paraId="17D637D3" w14:textId="7283A900" w:rsidR="005C7525" w:rsidRPr="002F4446" w:rsidRDefault="005C7525" w:rsidP="005C7525">
            <w:pPr>
              <w:jc w:val="both"/>
              <w:rPr>
                <w:rFonts w:asciiTheme="minorHAnsi" w:hAnsiTheme="minorHAnsi" w:cs="Calibri"/>
                <w:sz w:val="20"/>
                <w:szCs w:val="20"/>
              </w:rPr>
            </w:pPr>
            <w:r>
              <w:rPr>
                <w:rFonts w:asciiTheme="minorHAnsi" w:hAnsiTheme="minorHAnsi" w:cs="Calibri"/>
                <w:sz w:val="20"/>
                <w:szCs w:val="20"/>
              </w:rPr>
              <w:t xml:space="preserve">Monthly meetings/briefings will be conducted on the progress of the CEPA monitoring together with the </w:t>
            </w:r>
            <w:r w:rsidR="00344E3C">
              <w:rPr>
                <w:rFonts w:asciiTheme="minorHAnsi" w:hAnsiTheme="minorHAnsi" w:cs="Calibri"/>
                <w:sz w:val="20"/>
                <w:szCs w:val="20"/>
              </w:rPr>
              <w:t>JNKE</w:t>
            </w:r>
            <w:r w:rsidR="00353EC0">
              <w:rPr>
                <w:rFonts w:asciiTheme="minorHAnsi" w:hAnsiTheme="minorHAnsi" w:cs="Calibri"/>
                <w:sz w:val="20"/>
                <w:szCs w:val="20"/>
              </w:rPr>
              <w:t xml:space="preserve"> </w:t>
            </w:r>
            <w:r w:rsidR="00344E3C">
              <w:rPr>
                <w:rFonts w:asciiTheme="minorHAnsi" w:hAnsiTheme="minorHAnsi" w:cs="Calibri"/>
                <w:sz w:val="20"/>
                <w:szCs w:val="20"/>
              </w:rPr>
              <w:t xml:space="preserve"> </w:t>
            </w:r>
            <w:r w:rsidR="00353EC0">
              <w:rPr>
                <w:rFonts w:asciiTheme="minorHAnsi" w:hAnsiTheme="minorHAnsi" w:cs="Calibri"/>
                <w:sz w:val="20"/>
                <w:szCs w:val="20"/>
              </w:rPr>
              <w:t xml:space="preserve"> and the</w:t>
            </w:r>
            <w:r>
              <w:rPr>
                <w:rFonts w:asciiTheme="minorHAnsi" w:hAnsiTheme="minorHAnsi" w:cs="Calibri"/>
                <w:sz w:val="20"/>
                <w:szCs w:val="20"/>
              </w:rPr>
              <w:t xml:space="preserve"> </w:t>
            </w:r>
            <w:r w:rsidR="00353EC0">
              <w:rPr>
                <w:rFonts w:asciiTheme="minorHAnsi" w:hAnsiTheme="minorHAnsi" w:cs="Calibri"/>
                <w:sz w:val="20"/>
                <w:szCs w:val="20"/>
              </w:rPr>
              <w:t xml:space="preserve">project team as well as with the </w:t>
            </w:r>
            <w:r>
              <w:rPr>
                <w:rFonts w:asciiTheme="minorHAnsi" w:hAnsiTheme="minorHAnsi" w:cs="Calibri"/>
                <w:sz w:val="20"/>
                <w:szCs w:val="20"/>
              </w:rPr>
              <w:t xml:space="preserve">EUD representatives. </w:t>
            </w:r>
          </w:p>
          <w:p w14:paraId="10285CF1" w14:textId="3FF75B16" w:rsidR="005C7525" w:rsidRPr="002F4446" w:rsidRDefault="00344E3C" w:rsidP="005C7525">
            <w:pPr>
              <w:jc w:val="both"/>
              <w:rPr>
                <w:rFonts w:asciiTheme="minorHAnsi" w:hAnsiTheme="minorHAnsi" w:cs="Calibri"/>
                <w:sz w:val="20"/>
                <w:szCs w:val="20"/>
              </w:rPr>
            </w:pPr>
            <w:r>
              <w:rPr>
                <w:rFonts w:asciiTheme="minorHAnsi" w:hAnsiTheme="minorHAnsi" w:cs="Calibri"/>
                <w:sz w:val="20"/>
                <w:szCs w:val="20"/>
              </w:rPr>
              <w:t xml:space="preserve"> </w:t>
            </w:r>
          </w:p>
          <w:p w14:paraId="0D6B2788" w14:textId="7782415F" w:rsidR="005C7525" w:rsidRPr="00F25E65" w:rsidRDefault="005C7525" w:rsidP="005C7525">
            <w:pPr>
              <w:jc w:val="both"/>
              <w:rPr>
                <w:rFonts w:asciiTheme="minorHAnsi" w:hAnsiTheme="minorHAnsi" w:cs="Calibri"/>
                <w:sz w:val="20"/>
                <w:szCs w:val="20"/>
              </w:rPr>
            </w:pPr>
            <w:r w:rsidRPr="00277761">
              <w:rPr>
                <w:rFonts w:asciiTheme="minorHAnsi" w:hAnsiTheme="minorHAnsi"/>
                <w:b/>
                <w:sz w:val="20"/>
                <w:szCs w:val="20"/>
              </w:rPr>
              <w:t>NOTE: Civil servants and other staff currently employed by the public administration, or any governmental agencies of the Republic of Armenia, or persons that previously worked or were contracted by the Armenian state institutions within the last six months prior to application deadline, are not eligible to apply. Civil Society Experts must be independent and free from conflicts of interest in the responsibilities defined by the Expert Terms of Reference.</w:t>
            </w:r>
          </w:p>
        </w:tc>
      </w:tr>
      <w:tr w:rsidR="005C7525" w:rsidRPr="002F4446" w14:paraId="3CB4E00E" w14:textId="77777777" w:rsidTr="00A33839">
        <w:tc>
          <w:tcPr>
            <w:tcW w:w="8789" w:type="dxa"/>
            <w:gridSpan w:val="2"/>
            <w:shd w:val="clear" w:color="auto" w:fill="D9D9D9"/>
          </w:tcPr>
          <w:p w14:paraId="4C859BC0" w14:textId="77777777" w:rsidR="005C7525" w:rsidRPr="002F4446" w:rsidRDefault="005C7525" w:rsidP="005C7525">
            <w:pPr>
              <w:rPr>
                <w:rFonts w:asciiTheme="minorHAnsi" w:hAnsiTheme="minorHAnsi" w:cs="Calibri"/>
                <w:sz w:val="20"/>
                <w:szCs w:val="20"/>
              </w:rPr>
            </w:pPr>
            <w:r w:rsidRPr="002F4446">
              <w:rPr>
                <w:rFonts w:asciiTheme="minorHAnsi" w:hAnsiTheme="minorHAnsi" w:cs="Calibri"/>
                <w:b/>
                <w:bCs/>
                <w:sz w:val="20"/>
                <w:szCs w:val="20"/>
              </w:rPr>
              <w:t xml:space="preserve">3. Expert inputs </w:t>
            </w:r>
            <w:r w:rsidRPr="002F4446">
              <w:rPr>
                <w:rFonts w:asciiTheme="minorHAnsi" w:hAnsiTheme="minorHAnsi" w:cs="Calibri"/>
                <w:sz w:val="20"/>
                <w:szCs w:val="20"/>
              </w:rPr>
              <w:t xml:space="preserve"> </w:t>
            </w:r>
          </w:p>
        </w:tc>
      </w:tr>
      <w:tr w:rsidR="005C7525" w:rsidRPr="002F4446" w14:paraId="1ABC1538" w14:textId="77777777" w:rsidTr="00A33839">
        <w:tc>
          <w:tcPr>
            <w:tcW w:w="2410" w:type="dxa"/>
          </w:tcPr>
          <w:p w14:paraId="0204419F" w14:textId="77777777" w:rsidR="005C7525" w:rsidRPr="002F4446" w:rsidRDefault="005C7525" w:rsidP="005C7525">
            <w:pPr>
              <w:rPr>
                <w:rFonts w:asciiTheme="minorHAnsi" w:hAnsiTheme="minorHAnsi" w:cs="Calibri"/>
                <w:b/>
                <w:sz w:val="20"/>
                <w:szCs w:val="20"/>
              </w:rPr>
            </w:pPr>
            <w:r w:rsidRPr="002F4446">
              <w:rPr>
                <w:rFonts w:asciiTheme="minorHAnsi" w:hAnsiTheme="minorHAnsi" w:cs="Calibri"/>
                <w:b/>
                <w:sz w:val="20"/>
                <w:szCs w:val="20"/>
              </w:rPr>
              <w:t>3.1. Total working days</w:t>
            </w:r>
          </w:p>
        </w:tc>
        <w:tc>
          <w:tcPr>
            <w:tcW w:w="6379" w:type="dxa"/>
          </w:tcPr>
          <w:p w14:paraId="78561DA4" w14:textId="3F7B836B" w:rsidR="005C7525" w:rsidRPr="002F4446" w:rsidRDefault="005C7525" w:rsidP="005C7525">
            <w:pPr>
              <w:rPr>
                <w:rFonts w:asciiTheme="minorHAnsi" w:hAnsiTheme="minorHAnsi" w:cs="Calibri"/>
                <w:sz w:val="20"/>
                <w:szCs w:val="20"/>
              </w:rPr>
            </w:pPr>
            <w:r w:rsidRPr="002F4446">
              <w:rPr>
                <w:rFonts w:asciiTheme="minorHAnsi" w:hAnsiTheme="minorHAnsi" w:cs="Calibri"/>
                <w:sz w:val="20"/>
                <w:szCs w:val="20"/>
              </w:rPr>
              <w:t xml:space="preserve">Up to </w:t>
            </w:r>
            <w:r>
              <w:rPr>
                <w:rFonts w:asciiTheme="minorHAnsi" w:hAnsiTheme="minorHAnsi" w:cs="Calibri"/>
                <w:sz w:val="20"/>
                <w:szCs w:val="20"/>
              </w:rPr>
              <w:t>4</w:t>
            </w:r>
            <w:r w:rsidRPr="002F4446">
              <w:rPr>
                <w:rFonts w:asciiTheme="minorHAnsi" w:hAnsiTheme="minorHAnsi" w:cs="Calibri"/>
                <w:sz w:val="20"/>
                <w:szCs w:val="20"/>
              </w:rPr>
              <w:t xml:space="preserve">0 WDs per </w:t>
            </w:r>
            <w:r w:rsidR="008E7A4E">
              <w:rPr>
                <w:rFonts w:asciiTheme="minorHAnsi" w:hAnsiTheme="minorHAnsi" w:cs="Calibri"/>
                <w:sz w:val="20"/>
                <w:szCs w:val="20"/>
              </w:rPr>
              <w:t>Expert</w:t>
            </w:r>
          </w:p>
        </w:tc>
      </w:tr>
      <w:tr w:rsidR="005C7525" w:rsidRPr="002F4446" w14:paraId="4AC9CD5A" w14:textId="77777777" w:rsidTr="00A33839">
        <w:tc>
          <w:tcPr>
            <w:tcW w:w="2410" w:type="dxa"/>
          </w:tcPr>
          <w:p w14:paraId="3C86BA78" w14:textId="77777777" w:rsidR="005C7525" w:rsidRPr="002F4446" w:rsidRDefault="005C7525" w:rsidP="005C7525">
            <w:pPr>
              <w:rPr>
                <w:rFonts w:asciiTheme="minorHAnsi" w:hAnsiTheme="minorHAnsi" w:cs="Calibri"/>
                <w:b/>
                <w:sz w:val="20"/>
                <w:szCs w:val="20"/>
              </w:rPr>
            </w:pPr>
            <w:r w:rsidRPr="002F4446">
              <w:rPr>
                <w:rFonts w:asciiTheme="minorHAnsi" w:hAnsiTheme="minorHAnsi" w:cs="Calibri"/>
                <w:b/>
                <w:sz w:val="20"/>
                <w:szCs w:val="20"/>
              </w:rPr>
              <w:t>3.2. No. of missions</w:t>
            </w:r>
          </w:p>
        </w:tc>
        <w:tc>
          <w:tcPr>
            <w:tcW w:w="6379" w:type="dxa"/>
          </w:tcPr>
          <w:p w14:paraId="17AC5F1E" w14:textId="77777777" w:rsidR="005C7525" w:rsidRPr="002F4446" w:rsidRDefault="005C7525" w:rsidP="005C7525">
            <w:pPr>
              <w:rPr>
                <w:rFonts w:asciiTheme="minorHAnsi" w:hAnsiTheme="minorHAnsi" w:cs="Calibri"/>
                <w:sz w:val="20"/>
                <w:szCs w:val="20"/>
              </w:rPr>
            </w:pPr>
            <w:r w:rsidRPr="002F4446">
              <w:rPr>
                <w:rFonts w:asciiTheme="minorHAnsi" w:hAnsiTheme="minorHAnsi" w:cs="Calibri"/>
                <w:sz w:val="20"/>
                <w:szCs w:val="20"/>
              </w:rPr>
              <w:t>Until the end of February 2025</w:t>
            </w:r>
          </w:p>
        </w:tc>
      </w:tr>
      <w:tr w:rsidR="005C7525" w:rsidRPr="002F4446" w14:paraId="7F55075B" w14:textId="77777777" w:rsidTr="00A33839">
        <w:tc>
          <w:tcPr>
            <w:tcW w:w="2410" w:type="dxa"/>
          </w:tcPr>
          <w:p w14:paraId="3AD7CC2A" w14:textId="77777777" w:rsidR="005C7525" w:rsidRPr="002F4446" w:rsidRDefault="005C7525" w:rsidP="005C7525">
            <w:pPr>
              <w:rPr>
                <w:rFonts w:asciiTheme="minorHAnsi" w:hAnsiTheme="minorHAnsi" w:cs="Calibri"/>
                <w:b/>
                <w:sz w:val="20"/>
                <w:szCs w:val="20"/>
              </w:rPr>
            </w:pPr>
            <w:r w:rsidRPr="002F4446">
              <w:rPr>
                <w:rFonts w:asciiTheme="minorHAnsi" w:hAnsiTheme="minorHAnsi" w:cs="Calibri"/>
                <w:b/>
                <w:sz w:val="20"/>
                <w:szCs w:val="20"/>
              </w:rPr>
              <w:t>3.3. Starting day</w:t>
            </w:r>
          </w:p>
        </w:tc>
        <w:tc>
          <w:tcPr>
            <w:tcW w:w="6379" w:type="dxa"/>
          </w:tcPr>
          <w:p w14:paraId="03C03244" w14:textId="77777777" w:rsidR="005C7525" w:rsidRPr="002F4446" w:rsidRDefault="005C7525" w:rsidP="005C7525">
            <w:pPr>
              <w:rPr>
                <w:rFonts w:asciiTheme="minorHAnsi" w:hAnsiTheme="minorHAnsi" w:cs="Calibri"/>
                <w:sz w:val="20"/>
                <w:szCs w:val="20"/>
              </w:rPr>
            </w:pPr>
            <w:r w:rsidRPr="002F4446">
              <w:rPr>
                <w:rFonts w:asciiTheme="minorHAnsi" w:hAnsiTheme="minorHAnsi" w:cs="Calibri"/>
                <w:sz w:val="20"/>
                <w:szCs w:val="20"/>
              </w:rPr>
              <w:t>November 01, 2024</w:t>
            </w:r>
          </w:p>
        </w:tc>
      </w:tr>
      <w:tr w:rsidR="005C7525" w:rsidRPr="002F4446" w14:paraId="71B6CFFD" w14:textId="77777777" w:rsidTr="00A33839">
        <w:tc>
          <w:tcPr>
            <w:tcW w:w="2410" w:type="dxa"/>
          </w:tcPr>
          <w:p w14:paraId="7C083826" w14:textId="77777777" w:rsidR="005C7525" w:rsidRPr="002F4446" w:rsidRDefault="005C7525" w:rsidP="005C7525">
            <w:pPr>
              <w:rPr>
                <w:rFonts w:asciiTheme="minorHAnsi" w:hAnsiTheme="minorHAnsi" w:cs="Calibri"/>
                <w:b/>
                <w:sz w:val="20"/>
                <w:szCs w:val="20"/>
              </w:rPr>
            </w:pPr>
            <w:r w:rsidRPr="002F4446">
              <w:rPr>
                <w:rFonts w:asciiTheme="minorHAnsi" w:hAnsiTheme="minorHAnsi" w:cs="Calibri"/>
                <w:b/>
                <w:sz w:val="20"/>
                <w:szCs w:val="20"/>
              </w:rPr>
              <w:t>3.4. Location</w:t>
            </w:r>
          </w:p>
        </w:tc>
        <w:tc>
          <w:tcPr>
            <w:tcW w:w="6379" w:type="dxa"/>
          </w:tcPr>
          <w:p w14:paraId="625F0104" w14:textId="77777777" w:rsidR="005C7525" w:rsidRPr="002F4446" w:rsidRDefault="005C7525" w:rsidP="005C7525">
            <w:pPr>
              <w:suppressAutoHyphens/>
              <w:jc w:val="both"/>
              <w:rPr>
                <w:rFonts w:asciiTheme="minorHAnsi" w:hAnsiTheme="minorHAnsi" w:cs="Calibri"/>
                <w:sz w:val="20"/>
                <w:szCs w:val="20"/>
                <w:lang w:eastAsia="zh-CN"/>
              </w:rPr>
            </w:pPr>
            <w:r w:rsidRPr="002F4446">
              <w:rPr>
                <w:rFonts w:asciiTheme="minorHAnsi" w:hAnsiTheme="minorHAnsi" w:cs="Calibri"/>
                <w:sz w:val="20"/>
                <w:szCs w:val="20"/>
                <w:lang w:eastAsia="zh-CN"/>
              </w:rPr>
              <w:t>Yerevan, Armenia. Missions to other locations in Armenia are also foreseen. The locations for the missions will be clarified with the Contracting Authority before each travel.</w:t>
            </w:r>
          </w:p>
        </w:tc>
      </w:tr>
      <w:tr w:rsidR="005C7525" w:rsidRPr="002F4446" w14:paraId="3C00CF59" w14:textId="77777777" w:rsidTr="00A33839">
        <w:tc>
          <w:tcPr>
            <w:tcW w:w="8789" w:type="dxa"/>
            <w:gridSpan w:val="2"/>
            <w:shd w:val="clear" w:color="auto" w:fill="D9D9D9"/>
          </w:tcPr>
          <w:p w14:paraId="0D561F70" w14:textId="77777777" w:rsidR="005C7525" w:rsidRPr="002F4446" w:rsidRDefault="005C7525" w:rsidP="005C7525">
            <w:pPr>
              <w:rPr>
                <w:rFonts w:asciiTheme="minorHAnsi" w:hAnsiTheme="minorHAnsi" w:cs="Calibri"/>
                <w:sz w:val="20"/>
                <w:szCs w:val="20"/>
              </w:rPr>
            </w:pPr>
            <w:r w:rsidRPr="002F4446">
              <w:rPr>
                <w:rFonts w:asciiTheme="minorHAnsi" w:hAnsiTheme="minorHAnsi" w:cs="Calibri"/>
                <w:b/>
                <w:bCs/>
                <w:sz w:val="20"/>
                <w:szCs w:val="20"/>
              </w:rPr>
              <w:t>4. Requested qualifications</w:t>
            </w:r>
          </w:p>
        </w:tc>
      </w:tr>
      <w:tr w:rsidR="005C7525" w:rsidRPr="002F4446" w14:paraId="7D4BFF3B" w14:textId="77777777" w:rsidTr="00A33839">
        <w:tc>
          <w:tcPr>
            <w:tcW w:w="8789" w:type="dxa"/>
            <w:gridSpan w:val="2"/>
          </w:tcPr>
          <w:p w14:paraId="061F6400" w14:textId="77777777" w:rsidR="005C7525" w:rsidRPr="002F4446" w:rsidRDefault="005C7525" w:rsidP="005C7525">
            <w:pPr>
              <w:jc w:val="both"/>
              <w:rPr>
                <w:rFonts w:asciiTheme="minorHAnsi" w:hAnsiTheme="minorHAnsi" w:cs="Calibri"/>
                <w:sz w:val="20"/>
                <w:szCs w:val="20"/>
              </w:rPr>
            </w:pPr>
            <w:r w:rsidRPr="002F4446">
              <w:rPr>
                <w:rFonts w:asciiTheme="minorHAnsi" w:hAnsiTheme="minorHAnsi" w:cs="Calibri"/>
                <w:sz w:val="20"/>
                <w:szCs w:val="20"/>
              </w:rPr>
              <w:t>Expert's profile per Contract Annex I: Description of the activities</w:t>
            </w:r>
          </w:p>
        </w:tc>
      </w:tr>
      <w:tr w:rsidR="005C7525" w:rsidRPr="002F4446" w14:paraId="40C714C4" w14:textId="77777777" w:rsidTr="00904787">
        <w:trPr>
          <w:trHeight w:val="841"/>
        </w:trPr>
        <w:tc>
          <w:tcPr>
            <w:tcW w:w="2410" w:type="dxa"/>
          </w:tcPr>
          <w:p w14:paraId="678B7337" w14:textId="77777777" w:rsidR="005C7525" w:rsidRPr="002F4446" w:rsidRDefault="005C7525" w:rsidP="005C7525">
            <w:pPr>
              <w:rPr>
                <w:rFonts w:asciiTheme="minorHAnsi" w:hAnsiTheme="minorHAnsi" w:cs="Calibri"/>
                <w:b/>
                <w:sz w:val="20"/>
                <w:szCs w:val="20"/>
              </w:rPr>
            </w:pPr>
            <w:r w:rsidRPr="002F4446">
              <w:rPr>
                <w:rFonts w:asciiTheme="minorHAnsi" w:hAnsiTheme="minorHAnsi" w:cs="Calibri"/>
                <w:b/>
                <w:sz w:val="20"/>
                <w:szCs w:val="20"/>
              </w:rPr>
              <w:t>4.1. Qualification and Skills:</w:t>
            </w:r>
          </w:p>
          <w:p w14:paraId="6BCFFDB0" w14:textId="77777777" w:rsidR="005C7525" w:rsidRPr="002F4446" w:rsidRDefault="005C7525" w:rsidP="005C7525">
            <w:pPr>
              <w:rPr>
                <w:rFonts w:asciiTheme="minorHAnsi" w:hAnsiTheme="minorHAnsi" w:cs="Calibri"/>
                <w:sz w:val="20"/>
                <w:szCs w:val="20"/>
              </w:rPr>
            </w:pPr>
          </w:p>
        </w:tc>
        <w:tc>
          <w:tcPr>
            <w:tcW w:w="6379" w:type="dxa"/>
            <w:shd w:val="clear" w:color="auto" w:fill="auto"/>
          </w:tcPr>
          <w:p w14:paraId="25443AAE" w14:textId="2BD2C03A" w:rsidR="005C7525" w:rsidRPr="002E166C" w:rsidRDefault="005C7525" w:rsidP="005C7525">
            <w:pPr>
              <w:pStyle w:val="ListParagraph"/>
              <w:numPr>
                <w:ilvl w:val="0"/>
                <w:numId w:val="1"/>
              </w:numPr>
              <w:jc w:val="both"/>
              <w:rPr>
                <w:rFonts w:asciiTheme="minorHAnsi" w:hAnsiTheme="minorHAnsi" w:cs="Calibri"/>
                <w:sz w:val="20"/>
                <w:szCs w:val="20"/>
              </w:rPr>
            </w:pPr>
            <w:r w:rsidRPr="002E166C">
              <w:rPr>
                <w:rFonts w:asciiTheme="minorHAnsi" w:hAnsiTheme="minorHAnsi" w:cs="Calibri"/>
                <w:sz w:val="20"/>
                <w:szCs w:val="20"/>
              </w:rPr>
              <w:t>University Degree or professional experience of 5 years in one of the mentioned fields listed in 2.1</w:t>
            </w:r>
          </w:p>
          <w:p w14:paraId="458BF4DC" w14:textId="0535513D" w:rsidR="005C7525" w:rsidRPr="002E166C" w:rsidRDefault="005C7525" w:rsidP="005C7525">
            <w:pPr>
              <w:pStyle w:val="ListParagraph"/>
              <w:numPr>
                <w:ilvl w:val="0"/>
                <w:numId w:val="1"/>
              </w:numPr>
              <w:jc w:val="both"/>
              <w:rPr>
                <w:rFonts w:asciiTheme="minorHAnsi" w:hAnsiTheme="minorHAnsi" w:cs="Calibri"/>
                <w:sz w:val="20"/>
                <w:szCs w:val="20"/>
              </w:rPr>
            </w:pPr>
            <w:r w:rsidRPr="002E166C">
              <w:rPr>
                <w:rFonts w:asciiTheme="minorHAnsi" w:hAnsiTheme="minorHAnsi" w:cs="Calibri"/>
                <w:sz w:val="20"/>
                <w:szCs w:val="20"/>
              </w:rPr>
              <w:t>Excellent monitoring and evaluation skills;</w:t>
            </w:r>
          </w:p>
          <w:p w14:paraId="253D78FC" w14:textId="3412E85B" w:rsidR="005C7525" w:rsidRPr="002E166C" w:rsidRDefault="005C7525" w:rsidP="005C7525">
            <w:pPr>
              <w:pStyle w:val="ListParagraph"/>
              <w:numPr>
                <w:ilvl w:val="0"/>
                <w:numId w:val="1"/>
              </w:numPr>
              <w:jc w:val="both"/>
              <w:rPr>
                <w:rFonts w:asciiTheme="minorHAnsi" w:hAnsiTheme="minorHAnsi" w:cs="Calibri"/>
                <w:sz w:val="20"/>
                <w:szCs w:val="20"/>
              </w:rPr>
            </w:pPr>
            <w:r w:rsidRPr="002E166C">
              <w:rPr>
                <w:rFonts w:asciiTheme="minorHAnsi" w:hAnsiTheme="minorHAnsi" w:cs="Calibri"/>
                <w:sz w:val="20"/>
                <w:szCs w:val="20"/>
              </w:rPr>
              <w:t>Proven analytical and report writing skills;</w:t>
            </w:r>
          </w:p>
          <w:p w14:paraId="425725F3" w14:textId="0A6E7D71" w:rsidR="005C7525" w:rsidRPr="002E166C" w:rsidRDefault="005C7525" w:rsidP="005C7525">
            <w:pPr>
              <w:pStyle w:val="ListParagraph"/>
              <w:numPr>
                <w:ilvl w:val="0"/>
                <w:numId w:val="1"/>
              </w:numPr>
              <w:jc w:val="both"/>
              <w:rPr>
                <w:rFonts w:asciiTheme="minorHAnsi" w:hAnsiTheme="minorHAnsi" w:cs="Calibri"/>
                <w:sz w:val="20"/>
                <w:szCs w:val="20"/>
              </w:rPr>
            </w:pPr>
            <w:r w:rsidRPr="002E166C">
              <w:rPr>
                <w:rFonts w:asciiTheme="minorHAnsi" w:hAnsiTheme="minorHAnsi" w:cs="Calibri"/>
                <w:sz w:val="20"/>
                <w:szCs w:val="20"/>
              </w:rPr>
              <w:t>Computer literacy MS Office;</w:t>
            </w:r>
          </w:p>
          <w:p w14:paraId="2457C348" w14:textId="77777777" w:rsidR="005C7525" w:rsidRPr="002E166C" w:rsidRDefault="005C7525" w:rsidP="005C7525">
            <w:pPr>
              <w:pStyle w:val="ListParagraph"/>
              <w:numPr>
                <w:ilvl w:val="0"/>
                <w:numId w:val="1"/>
              </w:numPr>
              <w:jc w:val="both"/>
              <w:rPr>
                <w:rFonts w:asciiTheme="minorHAnsi" w:hAnsiTheme="minorHAnsi" w:cs="Calibri"/>
                <w:sz w:val="20"/>
                <w:szCs w:val="20"/>
              </w:rPr>
            </w:pPr>
            <w:r w:rsidRPr="002E166C">
              <w:rPr>
                <w:rFonts w:asciiTheme="minorHAnsi" w:hAnsiTheme="minorHAnsi" w:cs="Calibri"/>
                <w:sz w:val="20"/>
                <w:szCs w:val="20"/>
              </w:rPr>
              <w:t>Professional fluency in written and spoken English and Armenian</w:t>
            </w:r>
          </w:p>
          <w:p w14:paraId="55EB5920" w14:textId="5EF57F0E" w:rsidR="005C7525" w:rsidRPr="002E166C" w:rsidRDefault="005C7525" w:rsidP="005C7525">
            <w:pPr>
              <w:pStyle w:val="ListParagraph"/>
              <w:numPr>
                <w:ilvl w:val="0"/>
                <w:numId w:val="1"/>
              </w:numPr>
              <w:jc w:val="both"/>
              <w:rPr>
                <w:rFonts w:asciiTheme="minorHAnsi" w:hAnsiTheme="minorHAnsi" w:cs="Calibri"/>
                <w:sz w:val="20"/>
                <w:szCs w:val="20"/>
              </w:rPr>
            </w:pPr>
            <w:r w:rsidRPr="002E166C">
              <w:rPr>
                <w:rFonts w:asciiTheme="minorHAnsi" w:hAnsiTheme="minorHAnsi" w:cs="Calibri"/>
                <w:sz w:val="20"/>
                <w:szCs w:val="20"/>
              </w:rPr>
              <w:t xml:space="preserve">Advanced knowledge and skills on advocacy and communication. </w:t>
            </w:r>
          </w:p>
        </w:tc>
      </w:tr>
      <w:tr w:rsidR="005C7525" w:rsidRPr="002F4446" w14:paraId="4E4F0DF9" w14:textId="77777777" w:rsidTr="002C1523">
        <w:trPr>
          <w:trHeight w:val="688"/>
        </w:trPr>
        <w:tc>
          <w:tcPr>
            <w:tcW w:w="2410" w:type="dxa"/>
            <w:shd w:val="clear" w:color="auto" w:fill="auto"/>
          </w:tcPr>
          <w:p w14:paraId="30746B83" w14:textId="77777777" w:rsidR="005C7525" w:rsidRPr="002F4446" w:rsidRDefault="005C7525" w:rsidP="005C7525">
            <w:pPr>
              <w:rPr>
                <w:rFonts w:asciiTheme="minorHAnsi" w:hAnsiTheme="minorHAnsi" w:cs="Calibri"/>
                <w:b/>
                <w:sz w:val="20"/>
                <w:szCs w:val="20"/>
              </w:rPr>
            </w:pPr>
            <w:r w:rsidRPr="002F4446">
              <w:rPr>
                <w:rFonts w:asciiTheme="minorHAnsi" w:hAnsiTheme="minorHAnsi" w:cs="Calibri"/>
                <w:b/>
                <w:sz w:val="20"/>
                <w:szCs w:val="20"/>
              </w:rPr>
              <w:t>4.2. General Professional Experience</w:t>
            </w:r>
          </w:p>
          <w:p w14:paraId="7D4D3EED" w14:textId="77777777" w:rsidR="005C7525" w:rsidRPr="002F4446" w:rsidRDefault="005C7525" w:rsidP="005C7525">
            <w:pPr>
              <w:rPr>
                <w:rFonts w:asciiTheme="minorHAnsi" w:hAnsiTheme="minorHAnsi" w:cs="Calibri"/>
                <w:sz w:val="20"/>
                <w:szCs w:val="20"/>
              </w:rPr>
            </w:pPr>
          </w:p>
        </w:tc>
        <w:tc>
          <w:tcPr>
            <w:tcW w:w="6379" w:type="dxa"/>
            <w:shd w:val="clear" w:color="auto" w:fill="auto"/>
          </w:tcPr>
          <w:p w14:paraId="17740F19" w14:textId="454FD1BB" w:rsidR="005C7525" w:rsidRPr="002E166C" w:rsidRDefault="005C7525" w:rsidP="005C7525">
            <w:pPr>
              <w:pStyle w:val="ListParagraph"/>
              <w:numPr>
                <w:ilvl w:val="0"/>
                <w:numId w:val="1"/>
              </w:numPr>
              <w:jc w:val="both"/>
              <w:rPr>
                <w:rFonts w:asciiTheme="minorHAnsi" w:hAnsiTheme="minorHAnsi" w:cs="Calibri"/>
                <w:sz w:val="20"/>
                <w:szCs w:val="20"/>
              </w:rPr>
            </w:pPr>
            <w:r w:rsidRPr="002E166C">
              <w:rPr>
                <w:rFonts w:asciiTheme="minorHAnsi" w:hAnsiTheme="minorHAnsi" w:cs="Calibri"/>
                <w:sz w:val="20"/>
                <w:szCs w:val="20"/>
              </w:rPr>
              <w:t xml:space="preserve">At least </w:t>
            </w:r>
            <w:r w:rsidR="009B01DF">
              <w:rPr>
                <w:rFonts w:asciiTheme="minorHAnsi" w:hAnsiTheme="minorHAnsi" w:cs="Calibri"/>
                <w:sz w:val="20"/>
                <w:szCs w:val="20"/>
              </w:rPr>
              <w:t>5</w:t>
            </w:r>
            <w:r w:rsidRPr="002E166C">
              <w:rPr>
                <w:rFonts w:asciiTheme="minorHAnsi" w:hAnsiTheme="minorHAnsi" w:cs="Calibri"/>
                <w:sz w:val="20"/>
                <w:szCs w:val="20"/>
              </w:rPr>
              <w:t xml:space="preserve"> years of professional experience relevant to one or more CEPA fields;</w:t>
            </w:r>
          </w:p>
          <w:p w14:paraId="5A73F571" w14:textId="116C4C57" w:rsidR="005C7525" w:rsidRPr="002E166C" w:rsidRDefault="005C7525" w:rsidP="005C7525">
            <w:pPr>
              <w:pStyle w:val="ListParagraph"/>
              <w:numPr>
                <w:ilvl w:val="0"/>
                <w:numId w:val="1"/>
              </w:numPr>
              <w:jc w:val="both"/>
              <w:rPr>
                <w:rFonts w:asciiTheme="minorHAnsi" w:hAnsiTheme="minorHAnsi" w:cs="Calibri"/>
                <w:sz w:val="20"/>
                <w:szCs w:val="20"/>
              </w:rPr>
            </w:pPr>
            <w:r w:rsidRPr="002E166C">
              <w:rPr>
                <w:rFonts w:asciiTheme="minorHAnsi" w:hAnsiTheme="minorHAnsi" w:cs="Calibri"/>
                <w:sz w:val="20"/>
                <w:szCs w:val="20"/>
              </w:rPr>
              <w:t>Working experience in international or Armenian civil society organisations/project</w:t>
            </w:r>
            <w:r w:rsidR="00437D88">
              <w:rPr>
                <w:rFonts w:asciiTheme="minorHAnsi" w:hAnsiTheme="minorHAnsi" w:cs="Calibri"/>
                <w:sz w:val="20"/>
                <w:szCs w:val="20"/>
              </w:rPr>
              <w:t>s</w:t>
            </w:r>
            <w:r w:rsidRPr="002E166C">
              <w:rPr>
                <w:rFonts w:asciiTheme="minorHAnsi" w:hAnsiTheme="minorHAnsi" w:cs="Calibri"/>
                <w:sz w:val="20"/>
                <w:szCs w:val="20"/>
              </w:rPr>
              <w:t>;</w:t>
            </w:r>
          </w:p>
          <w:p w14:paraId="2D9BD535" w14:textId="77777777" w:rsidR="005C7525" w:rsidRPr="002E166C" w:rsidRDefault="005C7525" w:rsidP="005C7525">
            <w:pPr>
              <w:pStyle w:val="ListParagraph"/>
              <w:numPr>
                <w:ilvl w:val="0"/>
                <w:numId w:val="1"/>
              </w:numPr>
              <w:jc w:val="both"/>
              <w:rPr>
                <w:rFonts w:asciiTheme="minorHAnsi" w:hAnsiTheme="minorHAnsi" w:cs="Calibri"/>
                <w:sz w:val="20"/>
                <w:szCs w:val="20"/>
              </w:rPr>
            </w:pPr>
            <w:r w:rsidRPr="002E166C">
              <w:rPr>
                <w:rFonts w:asciiTheme="minorHAnsi" w:hAnsiTheme="minorHAnsi" w:cs="Calibri"/>
                <w:sz w:val="20"/>
                <w:szCs w:val="20"/>
              </w:rPr>
              <w:t>Knowledge of the EU policy framework in one or more CEPA field/s will be considered an asset.</w:t>
            </w:r>
          </w:p>
        </w:tc>
      </w:tr>
      <w:tr w:rsidR="005C7525" w:rsidRPr="002F4446" w14:paraId="78E19BAB" w14:textId="77777777" w:rsidTr="00A33839">
        <w:tc>
          <w:tcPr>
            <w:tcW w:w="8789" w:type="dxa"/>
            <w:gridSpan w:val="2"/>
            <w:shd w:val="clear" w:color="auto" w:fill="D9D9D9"/>
          </w:tcPr>
          <w:p w14:paraId="49D7DA61" w14:textId="77777777" w:rsidR="005C7525" w:rsidRPr="002E166C" w:rsidRDefault="005C7525" w:rsidP="005C7525">
            <w:pPr>
              <w:rPr>
                <w:rFonts w:asciiTheme="minorHAnsi" w:hAnsiTheme="minorHAnsi" w:cs="Calibri"/>
                <w:sz w:val="20"/>
                <w:szCs w:val="20"/>
              </w:rPr>
            </w:pPr>
            <w:r w:rsidRPr="002E166C">
              <w:rPr>
                <w:rFonts w:asciiTheme="minorHAnsi" w:hAnsiTheme="minorHAnsi" w:cs="Calibri"/>
                <w:b/>
                <w:bCs/>
                <w:sz w:val="20"/>
                <w:szCs w:val="20"/>
              </w:rPr>
              <w:t xml:space="preserve">5. Reporting </w:t>
            </w:r>
            <w:r w:rsidRPr="002E166C">
              <w:rPr>
                <w:rFonts w:asciiTheme="minorHAnsi" w:hAnsiTheme="minorHAnsi" w:cs="Calibri"/>
                <w:sz w:val="20"/>
                <w:szCs w:val="20"/>
              </w:rPr>
              <w:t xml:space="preserve"> </w:t>
            </w:r>
          </w:p>
        </w:tc>
      </w:tr>
      <w:tr w:rsidR="005C7525" w:rsidRPr="002F4446" w14:paraId="60CA1694" w14:textId="77777777" w:rsidTr="00A33839">
        <w:tc>
          <w:tcPr>
            <w:tcW w:w="2410" w:type="dxa"/>
          </w:tcPr>
          <w:p w14:paraId="021DE690" w14:textId="77777777" w:rsidR="005C7525" w:rsidRPr="002F4446" w:rsidRDefault="005C7525" w:rsidP="005C7525">
            <w:pPr>
              <w:rPr>
                <w:rFonts w:asciiTheme="minorHAnsi" w:hAnsiTheme="minorHAnsi" w:cs="Calibri"/>
                <w:b/>
                <w:sz w:val="20"/>
                <w:szCs w:val="20"/>
              </w:rPr>
            </w:pPr>
            <w:r w:rsidRPr="002F4446">
              <w:rPr>
                <w:rFonts w:asciiTheme="minorHAnsi" w:hAnsiTheme="minorHAnsi" w:cs="Calibri"/>
                <w:b/>
                <w:sz w:val="20"/>
                <w:szCs w:val="20"/>
              </w:rPr>
              <w:t>5.1. Language</w:t>
            </w:r>
          </w:p>
        </w:tc>
        <w:tc>
          <w:tcPr>
            <w:tcW w:w="6379" w:type="dxa"/>
          </w:tcPr>
          <w:p w14:paraId="5022C41B" w14:textId="77777777" w:rsidR="005C7525" w:rsidRPr="002E166C" w:rsidRDefault="005C7525" w:rsidP="005C7525">
            <w:pPr>
              <w:rPr>
                <w:rFonts w:asciiTheme="minorHAnsi" w:hAnsiTheme="minorHAnsi" w:cs="Calibri"/>
                <w:sz w:val="20"/>
                <w:szCs w:val="20"/>
              </w:rPr>
            </w:pPr>
            <w:r w:rsidRPr="002E166C">
              <w:rPr>
                <w:rFonts w:asciiTheme="minorHAnsi" w:hAnsiTheme="minorHAnsi" w:cs="Calibri"/>
                <w:sz w:val="20"/>
                <w:szCs w:val="20"/>
              </w:rPr>
              <w:t>English</w:t>
            </w:r>
          </w:p>
        </w:tc>
      </w:tr>
      <w:tr w:rsidR="005C7525" w:rsidRPr="002F4446" w14:paraId="52A12ACD" w14:textId="77777777" w:rsidTr="00A33839">
        <w:tc>
          <w:tcPr>
            <w:tcW w:w="2410" w:type="dxa"/>
          </w:tcPr>
          <w:p w14:paraId="43D10348" w14:textId="77777777" w:rsidR="005C7525" w:rsidRPr="002F4446" w:rsidRDefault="005C7525" w:rsidP="005C7525">
            <w:pPr>
              <w:rPr>
                <w:rFonts w:asciiTheme="minorHAnsi" w:hAnsiTheme="minorHAnsi" w:cs="Calibri"/>
                <w:b/>
                <w:sz w:val="20"/>
                <w:szCs w:val="20"/>
              </w:rPr>
            </w:pPr>
            <w:r w:rsidRPr="002F4446">
              <w:rPr>
                <w:rFonts w:asciiTheme="minorHAnsi" w:hAnsiTheme="minorHAnsi" w:cs="Calibri"/>
                <w:b/>
                <w:sz w:val="20"/>
                <w:szCs w:val="20"/>
              </w:rPr>
              <w:t>5.2. Report type/content</w:t>
            </w:r>
          </w:p>
        </w:tc>
        <w:tc>
          <w:tcPr>
            <w:tcW w:w="6379" w:type="dxa"/>
          </w:tcPr>
          <w:p w14:paraId="4477C0FD" w14:textId="79B08A3D" w:rsidR="005C7525" w:rsidRPr="002E166C" w:rsidRDefault="005C7525" w:rsidP="005C7525">
            <w:pPr>
              <w:rPr>
                <w:rFonts w:asciiTheme="minorHAnsi" w:hAnsiTheme="minorHAnsi" w:cs="Calibri"/>
                <w:sz w:val="20"/>
                <w:szCs w:val="20"/>
              </w:rPr>
            </w:pPr>
            <w:r w:rsidRPr="002E166C">
              <w:rPr>
                <w:rFonts w:asciiTheme="minorHAnsi" w:hAnsiTheme="minorHAnsi" w:cs="Calibri"/>
                <w:sz w:val="20"/>
                <w:szCs w:val="20"/>
              </w:rPr>
              <w:t xml:space="preserve">Monthly </w:t>
            </w:r>
            <w:r w:rsidR="00344E3C">
              <w:rPr>
                <w:rFonts w:asciiTheme="minorHAnsi" w:hAnsiTheme="minorHAnsi" w:cs="Calibri"/>
                <w:sz w:val="20"/>
                <w:szCs w:val="20"/>
              </w:rPr>
              <w:t>J</w:t>
            </w:r>
            <w:r w:rsidRPr="002E166C">
              <w:rPr>
                <w:rFonts w:asciiTheme="minorHAnsi" w:hAnsiTheme="minorHAnsi" w:cs="Calibri"/>
                <w:sz w:val="20"/>
                <w:szCs w:val="20"/>
              </w:rPr>
              <w:t>NKE reports</w:t>
            </w:r>
          </w:p>
          <w:p w14:paraId="21E57C1F" w14:textId="77777777" w:rsidR="005C7525" w:rsidRPr="002E166C" w:rsidRDefault="005C7525" w:rsidP="005C7525">
            <w:pPr>
              <w:rPr>
                <w:rFonts w:asciiTheme="minorHAnsi" w:hAnsiTheme="minorHAnsi" w:cs="Calibri"/>
                <w:sz w:val="20"/>
                <w:szCs w:val="20"/>
              </w:rPr>
            </w:pPr>
            <w:r w:rsidRPr="002E166C">
              <w:rPr>
                <w:rFonts w:asciiTheme="minorHAnsi" w:hAnsiTheme="minorHAnsi" w:cs="Calibri"/>
                <w:sz w:val="20"/>
                <w:szCs w:val="20"/>
              </w:rPr>
              <w:t>Contribution to the regular progress reports and ad-hoc reports related to activities implemented.</w:t>
            </w:r>
          </w:p>
          <w:p w14:paraId="53B05140" w14:textId="40873D8D" w:rsidR="005C7525" w:rsidRPr="002E166C" w:rsidRDefault="005C7525" w:rsidP="005C7525">
            <w:pPr>
              <w:rPr>
                <w:rFonts w:asciiTheme="minorHAnsi" w:hAnsiTheme="minorHAnsi" w:cs="Calibri"/>
                <w:sz w:val="20"/>
                <w:szCs w:val="20"/>
              </w:rPr>
            </w:pPr>
            <w:r w:rsidRPr="002E166C">
              <w:rPr>
                <w:rFonts w:asciiTheme="minorHAnsi" w:hAnsiTheme="minorHAnsi" w:cs="Calibri"/>
                <w:sz w:val="20"/>
                <w:szCs w:val="20"/>
              </w:rPr>
              <w:t>Monthly on-line/offline briefings with EUD</w:t>
            </w:r>
            <w:r w:rsidR="00344E3C">
              <w:rPr>
                <w:rFonts w:asciiTheme="minorHAnsi" w:hAnsiTheme="minorHAnsi" w:cs="Calibri"/>
                <w:sz w:val="20"/>
                <w:szCs w:val="20"/>
              </w:rPr>
              <w:t xml:space="preserve"> and project team</w:t>
            </w:r>
          </w:p>
          <w:p w14:paraId="7226B957" w14:textId="4691A2CE" w:rsidR="005C7525" w:rsidRPr="002E166C" w:rsidRDefault="005C7525" w:rsidP="005C7525">
            <w:pPr>
              <w:rPr>
                <w:rFonts w:asciiTheme="minorHAnsi" w:hAnsiTheme="minorHAnsi" w:cs="Calibri"/>
                <w:sz w:val="20"/>
                <w:szCs w:val="20"/>
              </w:rPr>
            </w:pPr>
            <w:r w:rsidRPr="002E166C">
              <w:rPr>
                <w:rFonts w:asciiTheme="minorHAnsi" w:hAnsiTheme="minorHAnsi" w:cs="Calibri"/>
                <w:sz w:val="20"/>
                <w:szCs w:val="20"/>
              </w:rPr>
              <w:t xml:space="preserve">Final monitoring report on the chosen specific field. </w:t>
            </w:r>
          </w:p>
        </w:tc>
      </w:tr>
      <w:tr w:rsidR="005C7525" w:rsidRPr="002F4446" w14:paraId="301A32AC" w14:textId="77777777" w:rsidTr="00A33839">
        <w:tc>
          <w:tcPr>
            <w:tcW w:w="2410" w:type="dxa"/>
          </w:tcPr>
          <w:p w14:paraId="1F97F47E" w14:textId="7816BC9C" w:rsidR="005C7525" w:rsidRPr="002F4446" w:rsidRDefault="005C7525" w:rsidP="005C7525">
            <w:pPr>
              <w:rPr>
                <w:rFonts w:asciiTheme="minorHAnsi" w:hAnsiTheme="minorHAnsi" w:cs="Calibri"/>
                <w:b/>
                <w:sz w:val="20"/>
                <w:szCs w:val="20"/>
              </w:rPr>
            </w:pPr>
            <w:r w:rsidRPr="002F4446">
              <w:rPr>
                <w:rFonts w:asciiTheme="minorHAnsi" w:hAnsiTheme="minorHAnsi" w:cs="Calibri"/>
                <w:b/>
                <w:sz w:val="20"/>
                <w:szCs w:val="20"/>
              </w:rPr>
              <w:t>5.3. Submission date</w:t>
            </w:r>
          </w:p>
        </w:tc>
        <w:tc>
          <w:tcPr>
            <w:tcW w:w="6379" w:type="dxa"/>
          </w:tcPr>
          <w:p w14:paraId="238B3FC5" w14:textId="77777777" w:rsidR="005C7525" w:rsidRPr="002E166C" w:rsidRDefault="005C7525" w:rsidP="005C7525">
            <w:pPr>
              <w:rPr>
                <w:rFonts w:asciiTheme="minorHAnsi" w:hAnsiTheme="minorHAnsi" w:cs="Calibri"/>
                <w:sz w:val="20"/>
                <w:szCs w:val="20"/>
              </w:rPr>
            </w:pPr>
          </w:p>
        </w:tc>
      </w:tr>
    </w:tbl>
    <w:p w14:paraId="4B79C579" w14:textId="77777777" w:rsidR="00F96292" w:rsidRDefault="00F96292"/>
    <w:sectPr w:rsidR="00F9629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7D972" w14:textId="77777777" w:rsidR="00463B2A" w:rsidRDefault="00463B2A" w:rsidP="002F4446">
      <w:r>
        <w:separator/>
      </w:r>
    </w:p>
  </w:endnote>
  <w:endnote w:type="continuationSeparator" w:id="0">
    <w:p w14:paraId="7CC55045" w14:textId="77777777" w:rsidR="00463B2A" w:rsidRDefault="00463B2A" w:rsidP="002F4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90091" w14:textId="77777777" w:rsidR="00463B2A" w:rsidRDefault="00463B2A" w:rsidP="002F4446">
      <w:r>
        <w:separator/>
      </w:r>
    </w:p>
  </w:footnote>
  <w:footnote w:type="continuationSeparator" w:id="0">
    <w:p w14:paraId="7C16C89E" w14:textId="77777777" w:rsidR="00463B2A" w:rsidRDefault="00463B2A" w:rsidP="002F4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09" w:type="dxa"/>
      <w:jc w:val="center"/>
      <w:tblCellMar>
        <w:left w:w="0" w:type="dxa"/>
        <w:right w:w="0" w:type="dxa"/>
      </w:tblCellMar>
      <w:tblLook w:val="0000" w:firstRow="0" w:lastRow="0" w:firstColumn="0" w:lastColumn="0" w:noHBand="0" w:noVBand="0"/>
    </w:tblPr>
    <w:tblGrid>
      <w:gridCol w:w="919"/>
      <w:gridCol w:w="7200"/>
      <w:gridCol w:w="990"/>
    </w:tblGrid>
    <w:tr w:rsidR="002F4446" w:rsidRPr="00403B4C" w14:paraId="7C858FFA" w14:textId="77777777" w:rsidTr="00A33839">
      <w:trPr>
        <w:cantSplit/>
        <w:jc w:val="center"/>
      </w:trPr>
      <w:tc>
        <w:tcPr>
          <w:tcW w:w="919" w:type="dxa"/>
          <w:tcBorders>
            <w:top w:val="nil"/>
            <w:left w:val="nil"/>
            <w:bottom w:val="nil"/>
            <w:right w:val="nil"/>
          </w:tcBorders>
          <w:vAlign w:val="center"/>
        </w:tcPr>
        <w:p w14:paraId="2E9F76B4" w14:textId="77777777" w:rsidR="002F4446" w:rsidRPr="00403B4C" w:rsidRDefault="002F4446" w:rsidP="002F4446">
          <w:pPr>
            <w:pStyle w:val="Header"/>
            <w:jc w:val="center"/>
            <w:rPr>
              <w:rFonts w:ascii="Arial Narrow" w:hAnsi="Arial Narrow"/>
              <w:color w:val="000080"/>
              <w:sz w:val="10"/>
            </w:rPr>
          </w:pPr>
          <w:r w:rsidRPr="00403B4C">
            <w:rPr>
              <w:rFonts w:ascii="Arial Narrow" w:hAnsi="Arial Narrow"/>
              <w:noProof/>
              <w:lang w:val="en-US"/>
            </w:rPr>
            <w:drawing>
              <wp:inline distT="0" distB="0" distL="0" distR="0" wp14:anchorId="2AF17723" wp14:editId="0C74435F">
                <wp:extent cx="5778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361950"/>
                        </a:xfrm>
                        <a:prstGeom prst="rect">
                          <a:avLst/>
                        </a:prstGeom>
                        <a:noFill/>
                        <a:ln>
                          <a:noFill/>
                        </a:ln>
                      </pic:spPr>
                    </pic:pic>
                  </a:graphicData>
                </a:graphic>
              </wp:inline>
            </w:drawing>
          </w:r>
        </w:p>
      </w:tc>
      <w:tc>
        <w:tcPr>
          <w:tcW w:w="7200" w:type="dxa"/>
          <w:tcBorders>
            <w:top w:val="nil"/>
            <w:left w:val="nil"/>
            <w:bottom w:val="nil"/>
            <w:right w:val="single" w:sz="4" w:space="0" w:color="auto"/>
          </w:tcBorders>
          <w:vAlign w:val="center"/>
        </w:tcPr>
        <w:p w14:paraId="3699B62D" w14:textId="77777777" w:rsidR="002F4446" w:rsidRPr="007849DB" w:rsidRDefault="002F4446" w:rsidP="002F4446">
          <w:pPr>
            <w:pStyle w:val="Header"/>
            <w:ind w:left="360"/>
            <w:jc w:val="center"/>
            <w:rPr>
              <w:rFonts w:ascii="Arial Narrow" w:hAnsi="Arial Narrow"/>
              <w:b/>
              <w:bCs/>
              <w:iCs/>
              <w:sz w:val="22"/>
              <w:szCs w:val="22"/>
            </w:rPr>
          </w:pPr>
          <w:r w:rsidRPr="007849DB">
            <w:rPr>
              <w:rFonts w:ascii="Arial Narrow" w:hAnsi="Arial Narrow"/>
              <w:b/>
              <w:bCs/>
              <w:iCs/>
              <w:sz w:val="22"/>
              <w:szCs w:val="22"/>
            </w:rPr>
            <w:t>Support to CEPA monitoring, implementation, and communication ENI/2023/442-87</w:t>
          </w:r>
          <w:r>
            <w:rPr>
              <w:rFonts w:ascii="Arial Narrow" w:hAnsi="Arial Narrow"/>
              <w:b/>
              <w:bCs/>
              <w:iCs/>
              <w:sz w:val="22"/>
              <w:szCs w:val="22"/>
            </w:rPr>
            <w:t>3</w:t>
          </w:r>
        </w:p>
      </w:tc>
      <w:tc>
        <w:tcPr>
          <w:tcW w:w="990" w:type="dxa"/>
          <w:tcBorders>
            <w:top w:val="single" w:sz="4" w:space="0" w:color="auto"/>
            <w:left w:val="single" w:sz="4" w:space="0" w:color="auto"/>
            <w:bottom w:val="single" w:sz="4" w:space="0" w:color="auto"/>
            <w:right w:val="single" w:sz="4" w:space="0" w:color="auto"/>
          </w:tcBorders>
          <w:vAlign w:val="center"/>
        </w:tcPr>
        <w:p w14:paraId="41EEAD92" w14:textId="77777777" w:rsidR="002F4446" w:rsidRPr="007849DB" w:rsidRDefault="002F4446" w:rsidP="002F4446">
          <w:pPr>
            <w:pStyle w:val="Header"/>
            <w:jc w:val="center"/>
            <w:rPr>
              <w:rFonts w:ascii="Arial Narrow" w:hAnsi="Arial Narrow"/>
              <w:b/>
              <w:sz w:val="22"/>
              <w:szCs w:val="22"/>
            </w:rPr>
          </w:pPr>
          <w:r>
            <w:rPr>
              <w:rFonts w:ascii="Arial Narrow" w:hAnsi="Arial Narrow"/>
              <w:b/>
              <w:sz w:val="22"/>
              <w:szCs w:val="22"/>
            </w:rPr>
            <w:t xml:space="preserve">NKE </w:t>
          </w:r>
          <w:proofErr w:type="spellStart"/>
          <w:r>
            <w:rPr>
              <w:rFonts w:ascii="Arial Narrow" w:hAnsi="Arial Narrow"/>
              <w:b/>
              <w:sz w:val="22"/>
              <w:szCs w:val="22"/>
            </w:rPr>
            <w:t>ToR</w:t>
          </w:r>
          <w:proofErr w:type="spellEnd"/>
        </w:p>
      </w:tc>
    </w:tr>
  </w:tbl>
  <w:p w14:paraId="078143EE" w14:textId="77777777" w:rsidR="002F4446" w:rsidRDefault="002F4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94451"/>
    <w:multiLevelType w:val="hybridMultilevel"/>
    <w:tmpl w:val="1C0E92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7D40106"/>
    <w:multiLevelType w:val="hybridMultilevel"/>
    <w:tmpl w:val="E96EE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EA21CD"/>
    <w:multiLevelType w:val="hybridMultilevel"/>
    <w:tmpl w:val="DB48F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EB82B93"/>
    <w:multiLevelType w:val="hybridMultilevel"/>
    <w:tmpl w:val="FDE00BA0"/>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FD546FC"/>
    <w:multiLevelType w:val="hybridMultilevel"/>
    <w:tmpl w:val="D4AECD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8070189">
    <w:abstractNumId w:val="2"/>
  </w:num>
  <w:num w:numId="2" w16cid:durableId="947203516">
    <w:abstractNumId w:val="1"/>
  </w:num>
  <w:num w:numId="3" w16cid:durableId="11859037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1647293">
    <w:abstractNumId w:val="4"/>
  </w:num>
  <w:num w:numId="5" w16cid:durableId="1376737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446"/>
    <w:rsid w:val="000234BD"/>
    <w:rsid w:val="000B3E6E"/>
    <w:rsid w:val="000B680C"/>
    <w:rsid w:val="000E5104"/>
    <w:rsid w:val="001327C0"/>
    <w:rsid w:val="001B072E"/>
    <w:rsid w:val="001C4513"/>
    <w:rsid w:val="001D15E6"/>
    <w:rsid w:val="001D662F"/>
    <w:rsid w:val="002343EB"/>
    <w:rsid w:val="00237092"/>
    <w:rsid w:val="00245C2F"/>
    <w:rsid w:val="00277761"/>
    <w:rsid w:val="002A0C7A"/>
    <w:rsid w:val="002C1523"/>
    <w:rsid w:val="002E03F9"/>
    <w:rsid w:val="002E166C"/>
    <w:rsid w:val="002E27B5"/>
    <w:rsid w:val="002F2729"/>
    <w:rsid w:val="002F4446"/>
    <w:rsid w:val="00310941"/>
    <w:rsid w:val="003240CE"/>
    <w:rsid w:val="00344E3C"/>
    <w:rsid w:val="00353EC0"/>
    <w:rsid w:val="003601F2"/>
    <w:rsid w:val="00370729"/>
    <w:rsid w:val="00374034"/>
    <w:rsid w:val="003A1520"/>
    <w:rsid w:val="003C296C"/>
    <w:rsid w:val="003C4843"/>
    <w:rsid w:val="003E00E9"/>
    <w:rsid w:val="003E0A76"/>
    <w:rsid w:val="003F1581"/>
    <w:rsid w:val="00437D88"/>
    <w:rsid w:val="00463B2A"/>
    <w:rsid w:val="004758A9"/>
    <w:rsid w:val="004D1C58"/>
    <w:rsid w:val="004D29D0"/>
    <w:rsid w:val="004D3B01"/>
    <w:rsid w:val="00506ECD"/>
    <w:rsid w:val="0059695F"/>
    <w:rsid w:val="005A4242"/>
    <w:rsid w:val="005C1839"/>
    <w:rsid w:val="005C7525"/>
    <w:rsid w:val="00631F4E"/>
    <w:rsid w:val="006438D9"/>
    <w:rsid w:val="006649B3"/>
    <w:rsid w:val="00682D49"/>
    <w:rsid w:val="006D0998"/>
    <w:rsid w:val="0071715C"/>
    <w:rsid w:val="00737E49"/>
    <w:rsid w:val="00751A9D"/>
    <w:rsid w:val="007C2838"/>
    <w:rsid w:val="00807278"/>
    <w:rsid w:val="0081466E"/>
    <w:rsid w:val="00816FE7"/>
    <w:rsid w:val="00827D6F"/>
    <w:rsid w:val="00834C16"/>
    <w:rsid w:val="00837371"/>
    <w:rsid w:val="008E3340"/>
    <w:rsid w:val="008E7A4E"/>
    <w:rsid w:val="00904787"/>
    <w:rsid w:val="0097301B"/>
    <w:rsid w:val="00991F3B"/>
    <w:rsid w:val="009B01DF"/>
    <w:rsid w:val="00A24318"/>
    <w:rsid w:val="00A9576D"/>
    <w:rsid w:val="00AC57F2"/>
    <w:rsid w:val="00B0741D"/>
    <w:rsid w:val="00B37F23"/>
    <w:rsid w:val="00B73794"/>
    <w:rsid w:val="00B747E0"/>
    <w:rsid w:val="00B80101"/>
    <w:rsid w:val="00BA1CA5"/>
    <w:rsid w:val="00BB136D"/>
    <w:rsid w:val="00BB3455"/>
    <w:rsid w:val="00BD1A70"/>
    <w:rsid w:val="00C06182"/>
    <w:rsid w:val="00C10CFF"/>
    <w:rsid w:val="00C24541"/>
    <w:rsid w:val="00C26F38"/>
    <w:rsid w:val="00C647CF"/>
    <w:rsid w:val="00C96ED4"/>
    <w:rsid w:val="00CA6D98"/>
    <w:rsid w:val="00CE55B5"/>
    <w:rsid w:val="00CE7960"/>
    <w:rsid w:val="00D07A9F"/>
    <w:rsid w:val="00D41CC2"/>
    <w:rsid w:val="00D454BB"/>
    <w:rsid w:val="00D82663"/>
    <w:rsid w:val="00DC283A"/>
    <w:rsid w:val="00DC4265"/>
    <w:rsid w:val="00E07679"/>
    <w:rsid w:val="00E23AC8"/>
    <w:rsid w:val="00E23C58"/>
    <w:rsid w:val="00E617B6"/>
    <w:rsid w:val="00EC1FC2"/>
    <w:rsid w:val="00EC3297"/>
    <w:rsid w:val="00F25E65"/>
    <w:rsid w:val="00F279DD"/>
    <w:rsid w:val="00F40744"/>
    <w:rsid w:val="00F44270"/>
    <w:rsid w:val="00F96292"/>
    <w:rsid w:val="00FD2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97AE4"/>
  <w15:chartTrackingRefBased/>
  <w15:docId w15:val="{30E56004-2B72-4123-A8ED-D4275663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44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F44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44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44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44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44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44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4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4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4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4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44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4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4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4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4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4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4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446"/>
    <w:rPr>
      <w:rFonts w:eastAsiaTheme="majorEastAsia" w:cstheme="majorBidi"/>
      <w:color w:val="272727" w:themeColor="text1" w:themeTint="D8"/>
    </w:rPr>
  </w:style>
  <w:style w:type="paragraph" w:styleId="Title">
    <w:name w:val="Title"/>
    <w:basedOn w:val="Normal"/>
    <w:next w:val="Normal"/>
    <w:link w:val="TitleChar"/>
    <w:uiPriority w:val="10"/>
    <w:qFormat/>
    <w:rsid w:val="002F44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4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4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4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446"/>
    <w:pPr>
      <w:spacing w:before="160"/>
      <w:jc w:val="center"/>
    </w:pPr>
    <w:rPr>
      <w:i/>
      <w:iCs/>
      <w:color w:val="404040" w:themeColor="text1" w:themeTint="BF"/>
    </w:rPr>
  </w:style>
  <w:style w:type="character" w:customStyle="1" w:styleId="QuoteChar">
    <w:name w:val="Quote Char"/>
    <w:basedOn w:val="DefaultParagraphFont"/>
    <w:link w:val="Quote"/>
    <w:uiPriority w:val="29"/>
    <w:rsid w:val="002F4446"/>
    <w:rPr>
      <w:i/>
      <w:iCs/>
      <w:color w:val="404040" w:themeColor="text1" w:themeTint="BF"/>
    </w:rPr>
  </w:style>
  <w:style w:type="paragraph" w:styleId="ListParagraph">
    <w:name w:val="List Paragraph"/>
    <w:basedOn w:val="Normal"/>
    <w:uiPriority w:val="34"/>
    <w:qFormat/>
    <w:rsid w:val="002F4446"/>
    <w:pPr>
      <w:ind w:left="720"/>
      <w:contextualSpacing/>
    </w:pPr>
  </w:style>
  <w:style w:type="character" w:styleId="IntenseEmphasis">
    <w:name w:val="Intense Emphasis"/>
    <w:basedOn w:val="DefaultParagraphFont"/>
    <w:uiPriority w:val="21"/>
    <w:qFormat/>
    <w:rsid w:val="002F4446"/>
    <w:rPr>
      <w:i/>
      <w:iCs/>
      <w:color w:val="0F4761" w:themeColor="accent1" w:themeShade="BF"/>
    </w:rPr>
  </w:style>
  <w:style w:type="paragraph" w:styleId="IntenseQuote">
    <w:name w:val="Intense Quote"/>
    <w:basedOn w:val="Normal"/>
    <w:next w:val="Normal"/>
    <w:link w:val="IntenseQuoteChar"/>
    <w:uiPriority w:val="30"/>
    <w:qFormat/>
    <w:rsid w:val="002F44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4446"/>
    <w:rPr>
      <w:i/>
      <w:iCs/>
      <w:color w:val="0F4761" w:themeColor="accent1" w:themeShade="BF"/>
    </w:rPr>
  </w:style>
  <w:style w:type="character" w:styleId="IntenseReference">
    <w:name w:val="Intense Reference"/>
    <w:basedOn w:val="DefaultParagraphFont"/>
    <w:uiPriority w:val="32"/>
    <w:qFormat/>
    <w:rsid w:val="002F4446"/>
    <w:rPr>
      <w:b/>
      <w:bCs/>
      <w:smallCaps/>
      <w:color w:val="0F4761" w:themeColor="accent1" w:themeShade="BF"/>
      <w:spacing w:val="5"/>
    </w:rPr>
  </w:style>
  <w:style w:type="paragraph" w:styleId="Header">
    <w:name w:val="header"/>
    <w:basedOn w:val="Normal"/>
    <w:link w:val="HeaderChar"/>
    <w:rsid w:val="002F4446"/>
    <w:pPr>
      <w:tabs>
        <w:tab w:val="center" w:pos="4320"/>
        <w:tab w:val="right" w:pos="8640"/>
      </w:tabs>
    </w:pPr>
  </w:style>
  <w:style w:type="character" w:customStyle="1" w:styleId="HeaderChar">
    <w:name w:val="Header Char"/>
    <w:basedOn w:val="DefaultParagraphFont"/>
    <w:link w:val="Header"/>
    <w:rsid w:val="002F4446"/>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2F4446"/>
    <w:pPr>
      <w:tabs>
        <w:tab w:val="center" w:pos="4513"/>
        <w:tab w:val="right" w:pos="9026"/>
      </w:tabs>
    </w:pPr>
  </w:style>
  <w:style w:type="character" w:customStyle="1" w:styleId="FooterChar">
    <w:name w:val="Footer Char"/>
    <w:basedOn w:val="DefaultParagraphFont"/>
    <w:link w:val="Footer"/>
    <w:uiPriority w:val="99"/>
    <w:rsid w:val="002F4446"/>
    <w:rPr>
      <w:rFonts w:ascii="Times New Roman" w:eastAsia="Times New Roman" w:hAnsi="Times New Roman" w:cs="Times New Roman"/>
      <w:kern w:val="0"/>
      <w:sz w:val="24"/>
      <w:szCs w:val="24"/>
      <w14:ligatures w14:val="none"/>
    </w:rPr>
  </w:style>
  <w:style w:type="character" w:styleId="CommentReference">
    <w:name w:val="annotation reference"/>
    <w:uiPriority w:val="99"/>
    <w:semiHidden/>
    <w:unhideWhenUsed/>
    <w:rsid w:val="002F4446"/>
    <w:rPr>
      <w:sz w:val="16"/>
      <w:szCs w:val="16"/>
    </w:rPr>
  </w:style>
  <w:style w:type="paragraph" w:styleId="CommentText">
    <w:name w:val="annotation text"/>
    <w:basedOn w:val="Normal"/>
    <w:link w:val="CommentTextChar"/>
    <w:uiPriority w:val="99"/>
    <w:unhideWhenUsed/>
    <w:rsid w:val="002F4446"/>
    <w:rPr>
      <w:sz w:val="20"/>
      <w:szCs w:val="20"/>
    </w:rPr>
  </w:style>
  <w:style w:type="character" w:customStyle="1" w:styleId="CommentTextChar">
    <w:name w:val="Comment Text Char"/>
    <w:basedOn w:val="DefaultParagraphFont"/>
    <w:link w:val="CommentText"/>
    <w:uiPriority w:val="99"/>
    <w:rsid w:val="002F4446"/>
    <w:rPr>
      <w:rFonts w:ascii="Times New Roman" w:eastAsia="Times New Roman" w:hAnsi="Times New Roman" w:cs="Times New Roman"/>
      <w:kern w:val="0"/>
      <w:sz w:val="20"/>
      <w:szCs w:val="20"/>
      <w14:ligatures w14:val="none"/>
    </w:rPr>
  </w:style>
  <w:style w:type="paragraph" w:styleId="NormalWeb">
    <w:name w:val="Normal (Web)"/>
    <w:basedOn w:val="Normal"/>
    <w:uiPriority w:val="99"/>
    <w:unhideWhenUsed/>
    <w:rsid w:val="002F4446"/>
  </w:style>
  <w:style w:type="paragraph" w:styleId="BalloonText">
    <w:name w:val="Balloon Text"/>
    <w:basedOn w:val="Normal"/>
    <w:link w:val="BalloonTextChar"/>
    <w:uiPriority w:val="99"/>
    <w:semiHidden/>
    <w:unhideWhenUsed/>
    <w:rsid w:val="00827D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D6F"/>
    <w:rPr>
      <w:rFonts w:ascii="Segoe UI" w:eastAsia="Times New Roman" w:hAnsi="Segoe UI" w:cs="Segoe UI"/>
      <w:kern w:val="0"/>
      <w:sz w:val="18"/>
      <w:szCs w:val="18"/>
      <w14:ligatures w14:val="none"/>
    </w:rPr>
  </w:style>
  <w:style w:type="paragraph" w:styleId="CommentSubject">
    <w:name w:val="annotation subject"/>
    <w:basedOn w:val="CommentText"/>
    <w:next w:val="CommentText"/>
    <w:link w:val="CommentSubjectChar"/>
    <w:uiPriority w:val="99"/>
    <w:semiHidden/>
    <w:unhideWhenUsed/>
    <w:rsid w:val="00245C2F"/>
    <w:rPr>
      <w:b/>
      <w:bCs/>
    </w:rPr>
  </w:style>
  <w:style w:type="character" w:customStyle="1" w:styleId="CommentSubjectChar">
    <w:name w:val="Comment Subject Char"/>
    <w:basedOn w:val="CommentTextChar"/>
    <w:link w:val="CommentSubject"/>
    <w:uiPriority w:val="99"/>
    <w:semiHidden/>
    <w:rsid w:val="00245C2F"/>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245C2F"/>
    <w:pPr>
      <w:spacing w:after="0" w:line="240" w:lineRule="auto"/>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qFormat/>
    <w:rsid w:val="00A24318"/>
    <w:pPr>
      <w:widowControl w:val="0"/>
      <w:autoSpaceDE w:val="0"/>
      <w:autoSpaceDN w:val="0"/>
    </w:pPr>
    <w:rPr>
      <w:rFonts w:ascii="Tahoma" w:eastAsia="Tahoma" w:hAnsi="Tahoma" w:cs="Tahoma"/>
      <w:sz w:val="20"/>
      <w:szCs w:val="20"/>
      <w:lang w:val="en-US"/>
    </w:rPr>
  </w:style>
  <w:style w:type="character" w:customStyle="1" w:styleId="BodyTextChar">
    <w:name w:val="Body Text Char"/>
    <w:basedOn w:val="DefaultParagraphFont"/>
    <w:link w:val="BodyText"/>
    <w:uiPriority w:val="1"/>
    <w:rsid w:val="00A24318"/>
    <w:rPr>
      <w:rFonts w:ascii="Tahoma" w:eastAsia="Tahoma" w:hAnsi="Tahoma" w:cs="Tahoma"/>
      <w:kern w:val="0"/>
      <w:sz w:val="20"/>
      <w:szCs w:val="20"/>
      <w:lang w:val="en-US"/>
      <w14:ligatures w14:val="none"/>
    </w:rPr>
  </w:style>
  <w:style w:type="character" w:styleId="Hyperlink">
    <w:name w:val="Hyperlink"/>
    <w:basedOn w:val="DefaultParagraphFont"/>
    <w:uiPriority w:val="99"/>
    <w:unhideWhenUsed/>
    <w:rsid w:val="00A24318"/>
    <w:rPr>
      <w:color w:val="467886" w:themeColor="hyperlink"/>
      <w:u w:val="single"/>
    </w:rPr>
  </w:style>
  <w:style w:type="character" w:styleId="UnresolvedMention">
    <w:name w:val="Unresolved Mention"/>
    <w:basedOn w:val="DefaultParagraphFont"/>
    <w:uiPriority w:val="99"/>
    <w:semiHidden/>
    <w:unhideWhenUsed/>
    <w:rsid w:val="00A24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f.am/reports/european-dimension-repor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epacso.am/hy/publication/7" TargetMode="External"/><Relationship Id="rId4" Type="http://schemas.openxmlformats.org/officeDocument/2006/relationships/settings" Target="settings.xml"/><Relationship Id="rId9" Type="http://schemas.openxmlformats.org/officeDocument/2006/relationships/hyperlink" Target="https://eu-armenia.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D0A78-C1B0-4622-BFFB-483CA7D85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3108</TotalTime>
  <Pages>3</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Oskorus</dc:creator>
  <cp:keywords/>
  <dc:description/>
  <cp:lastModifiedBy>Mushegh Yekmalyan</cp:lastModifiedBy>
  <cp:revision>42</cp:revision>
  <dcterms:created xsi:type="dcterms:W3CDTF">2024-08-20T07:37:00Z</dcterms:created>
  <dcterms:modified xsi:type="dcterms:W3CDTF">2024-08-26T18:27:00Z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b67464ba-b921-4a40-86e6-53d0501cf831</vt:lpwstr>
  </property>
</Properties>
</file>